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A9" w:rsidRDefault="00FC73A9" w:rsidP="00FC73A9">
      <w:pPr>
        <w:pStyle w:val="2"/>
        <w:spacing w:line="428" w:lineRule="exact"/>
        <w:rPr>
          <w:lang w:eastAsia="zh-CN"/>
        </w:rPr>
      </w:pPr>
      <w:r>
        <w:rPr>
          <w:spacing w:val="2"/>
          <w:lang w:eastAsia="zh-CN"/>
        </w:rPr>
        <w:t>附</w:t>
      </w:r>
      <w:r>
        <w:rPr>
          <w:lang w:eastAsia="zh-CN"/>
        </w:rPr>
        <w:t>件</w:t>
      </w:r>
    </w:p>
    <w:p w:rsidR="00FC73A9" w:rsidRDefault="00FC73A9" w:rsidP="00FC73A9">
      <w:pPr>
        <w:pStyle w:val="a6"/>
        <w:spacing w:before="0" w:after="0" w:line="560" w:lineRule="exact"/>
        <w:outlineLvl w:val="9"/>
        <w:rPr>
          <w:rFonts w:ascii="仿宋" w:eastAsia="仿宋" w:hAnsi="仿宋" w:cs="仿宋"/>
          <w:sz w:val="44"/>
          <w:szCs w:val="44"/>
        </w:rPr>
      </w:pPr>
      <w:bookmarkStart w:id="0" w:name="_GoBack"/>
      <w:r>
        <w:rPr>
          <w:rFonts w:ascii="仿宋" w:eastAsia="仿宋" w:hAnsi="仿宋" w:cs="仿宋" w:hint="eastAsia"/>
          <w:sz w:val="44"/>
          <w:szCs w:val="44"/>
        </w:rPr>
        <w:t>数字医学影像服务技术参数</w:t>
      </w:r>
    </w:p>
    <w:bookmarkEnd w:id="0"/>
    <w:p w:rsidR="00FC73A9" w:rsidRPr="0045390C" w:rsidRDefault="00FC73A9" w:rsidP="00FC73A9">
      <w:pPr>
        <w:spacing w:line="560" w:lineRule="exact"/>
        <w:ind w:firstLineChars="200" w:firstLine="560"/>
        <w:rPr>
          <w:rFonts w:ascii="方正仿宋_GBK" w:eastAsia="方正仿宋_GBK" w:hAnsi="方正仿宋_GBK"/>
          <w:sz w:val="28"/>
          <w:szCs w:val="28"/>
          <w:lang w:eastAsia="zh-CN"/>
        </w:rPr>
      </w:pPr>
      <w:r w:rsidRPr="0045390C">
        <w:rPr>
          <w:rFonts w:ascii="方正仿宋_GBK" w:eastAsia="方正仿宋_GBK" w:hAnsi="方正仿宋_GBK" w:hint="eastAsia"/>
          <w:sz w:val="28"/>
          <w:szCs w:val="28"/>
          <w:lang w:eastAsia="zh-CN"/>
        </w:rPr>
        <w:t>1、供应商所提供服务应符合《重庆市卫生健康委员会办公室关于印发重庆市数字医学影像服务技术规范的通知》(渝卫办发〔2024〕30号)要求，满足相关数据采集、存储、治理、应用及安全规范。</w:t>
      </w:r>
    </w:p>
    <w:p w:rsidR="00FC73A9" w:rsidRPr="0045390C" w:rsidRDefault="00FC73A9" w:rsidP="00FC73A9">
      <w:pPr>
        <w:spacing w:line="560" w:lineRule="exact"/>
        <w:ind w:firstLineChars="200" w:firstLine="560"/>
        <w:rPr>
          <w:rFonts w:ascii="方正仿宋_GBK" w:eastAsia="方正仿宋_GBK" w:hAnsi="方正仿宋_GBK"/>
          <w:sz w:val="28"/>
          <w:szCs w:val="28"/>
          <w:lang w:eastAsia="zh-CN"/>
        </w:rPr>
      </w:pPr>
      <w:r w:rsidRPr="0045390C">
        <w:rPr>
          <w:rFonts w:ascii="方正仿宋_GBK" w:eastAsia="方正仿宋_GBK" w:hAnsi="方正仿宋_GBK" w:hint="eastAsia"/>
          <w:sz w:val="28"/>
          <w:szCs w:val="28"/>
          <w:lang w:eastAsia="zh-CN"/>
        </w:rPr>
        <w:t>2、供应商所提供服务应适用于《重庆市医疗保障局关于规范放射检杏类医疗服务价格项目及医保支付政策的通知》(渝医保发〔2025〕23号)关于“提供符合检查结果互认要求的数字影像存储、实现患者获取查阅下载等服务”的技术要求。</w:t>
      </w:r>
    </w:p>
    <w:p w:rsidR="00FC73A9" w:rsidRPr="0045390C" w:rsidRDefault="00FC73A9" w:rsidP="00FC73A9">
      <w:pPr>
        <w:spacing w:after="240" w:line="560" w:lineRule="exact"/>
        <w:ind w:firstLineChars="200" w:firstLine="560"/>
        <w:rPr>
          <w:rFonts w:ascii="方正仿宋_GBK" w:eastAsia="方正仿宋_GBK" w:hAnsi="方正仿宋_GBK"/>
          <w:sz w:val="28"/>
          <w:szCs w:val="28"/>
          <w:lang w:eastAsia="zh-CN"/>
        </w:rPr>
      </w:pPr>
      <w:r w:rsidRPr="0045390C">
        <w:rPr>
          <w:rFonts w:ascii="方正仿宋_GBK" w:eastAsia="方正仿宋_GBK" w:hAnsi="方正仿宋_GBK" w:hint="eastAsia"/>
          <w:sz w:val="28"/>
          <w:szCs w:val="28"/>
          <w:lang w:eastAsia="zh-CN"/>
        </w:rPr>
        <w:t>3、供应商所提供服务影像数据应集中存储至重庆市卫生健康云，与全市互通共享，禁止将数据资源存储在市外的服务器及其存储系统中。可通过市级公众服务平台渝快办APP、渝康健小程序，实现患者全生命周期影像档案查阅影像资料并显示合规标识。</w:t>
      </w:r>
    </w:p>
    <w:p w:rsidR="00FC73A9" w:rsidRPr="0045390C" w:rsidRDefault="00FC73A9" w:rsidP="00FC73A9">
      <w:pPr>
        <w:pStyle w:val="a7"/>
        <w:ind w:firstLineChars="0" w:firstLine="420"/>
        <w:rPr>
          <w:rFonts w:ascii="方正仿宋_GBK" w:eastAsia="方正仿宋_GBK" w:hAnsi="方正仿宋_GBK" w:cstheme="minorBidi"/>
          <w:kern w:val="0"/>
          <w:sz w:val="28"/>
          <w:szCs w:val="28"/>
        </w:rPr>
      </w:pPr>
      <w:r w:rsidRPr="0045390C">
        <w:rPr>
          <w:rFonts w:ascii="方正仿宋_GBK" w:eastAsia="方正仿宋_GBK" w:hAnsi="方正仿宋_GBK" w:cstheme="minorBidi" w:hint="eastAsia"/>
          <w:kern w:val="0"/>
          <w:sz w:val="28"/>
          <w:szCs w:val="28"/>
        </w:rPr>
        <w:t>具体参数要求如下：</w:t>
      </w:r>
    </w:p>
    <w:tbl>
      <w:tblPr>
        <w:tblW w:w="9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34"/>
        <w:gridCol w:w="8100"/>
      </w:tblGrid>
      <w:tr w:rsidR="00FC73A9" w:rsidTr="00D44373">
        <w:trPr>
          <w:trHeight w:val="330"/>
        </w:trPr>
        <w:tc>
          <w:tcPr>
            <w:tcW w:w="1134" w:type="dxa"/>
            <w:vMerge w:val="restart"/>
            <w:shd w:val="clear" w:color="auto" w:fill="FFFFFF"/>
            <w:vAlign w:val="center"/>
          </w:tcPr>
          <w:p w:rsidR="00FC73A9" w:rsidRDefault="00FC73A9" w:rsidP="00D44373">
            <w:pPr>
              <w:jc w:val="center"/>
              <w:rPr>
                <w:rFonts w:ascii="仿宋" w:eastAsia="仿宋" w:hAnsi="仿宋" w:cs="仿宋"/>
                <w:b/>
                <w:bCs/>
                <w:color w:val="000000"/>
                <w:szCs w:val="24"/>
              </w:rPr>
            </w:pPr>
            <w:r>
              <w:rPr>
                <w:rFonts w:ascii="仿宋" w:eastAsia="仿宋" w:hAnsi="仿宋" w:cs="仿宋" w:hint="eastAsia"/>
                <w:b/>
                <w:bCs/>
                <w:color w:val="000000"/>
                <w:sz w:val="24"/>
                <w:szCs w:val="24"/>
              </w:rPr>
              <w:t>数据采集服务</w:t>
            </w:r>
          </w:p>
        </w:tc>
        <w:tc>
          <w:tcPr>
            <w:tcW w:w="8100" w:type="dxa"/>
            <w:shd w:val="clear" w:color="auto" w:fill="FFFFFF"/>
            <w:vAlign w:val="center"/>
          </w:tcPr>
          <w:p w:rsidR="00FC73A9" w:rsidRDefault="00FC73A9" w:rsidP="00D44373">
            <w:pPr>
              <w:widowControl/>
              <w:rPr>
                <w:rFonts w:ascii="仿宋" w:eastAsia="仿宋" w:hAnsi="仿宋" w:cs="仿宋"/>
                <w:color w:val="000000"/>
                <w:szCs w:val="24"/>
              </w:rPr>
            </w:pPr>
            <w:r>
              <w:rPr>
                <w:rFonts w:ascii="仿宋" w:eastAsia="仿宋" w:hAnsi="仿宋" w:cs="仿宋" w:hint="eastAsia"/>
                <w:color w:val="000000"/>
                <w:sz w:val="24"/>
                <w:szCs w:val="24"/>
                <w:lang w:eastAsia="zh-CN"/>
              </w:rPr>
              <w:t>按照《重庆市卫生健康行业统一数据采集工具运行管理规范》（渝卫办发〔2024〕16号）的要求，依托重庆市卫生健康专网，使用专用采集工具从医疗机构的图像存储与传输系统（Picture Archiving and Communication System，PACS）进行采集。</w:t>
            </w:r>
          </w:p>
        </w:tc>
      </w:tr>
      <w:tr w:rsidR="00FC73A9" w:rsidTr="00D44373">
        <w:trPr>
          <w:trHeight w:val="330"/>
        </w:trPr>
        <w:tc>
          <w:tcPr>
            <w:tcW w:w="1134" w:type="dxa"/>
            <w:vMerge/>
            <w:shd w:val="clear" w:color="auto" w:fill="FFFFFF"/>
            <w:vAlign w:val="center"/>
          </w:tcPr>
          <w:p w:rsidR="00FC73A9" w:rsidRDefault="00FC73A9" w:rsidP="00D44373">
            <w:pPr>
              <w:jc w:val="center"/>
              <w:rPr>
                <w:rFonts w:ascii="仿宋" w:eastAsia="仿宋" w:hAnsi="仿宋" w:cs="仿宋"/>
                <w:b/>
                <w:bCs/>
                <w:color w:val="000000"/>
                <w:szCs w:val="24"/>
              </w:rPr>
            </w:pPr>
          </w:p>
        </w:tc>
        <w:tc>
          <w:tcPr>
            <w:tcW w:w="8100" w:type="dxa"/>
            <w:shd w:val="clear" w:color="auto" w:fill="FFFFFF"/>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采集数据包含申请信息、检查信息、报告信息、检查报告指标信息、影像序列数据信息、图文报告中图像信息、PACS介质服务器信息、市级患者主索引信息、数字医学影像检查结果与放射学信息系统（Radiology Information System，RIS）介质服务器信息、RIS与PACS关联关系数据、检查质控信息数据、患者授权信息状态、诊断意见引用信息状态、互认信息状态等数据元信息。采集的医学影像检查结果应符合重庆市医学影像医疗质量控制中心发布的《重庆市医学影像检查结果互认项目技术操作指南》的要求。</w:t>
            </w:r>
          </w:p>
        </w:tc>
      </w:tr>
      <w:tr w:rsidR="00FC73A9" w:rsidTr="00D44373">
        <w:trPr>
          <w:trHeight w:val="330"/>
        </w:trPr>
        <w:tc>
          <w:tcPr>
            <w:tcW w:w="1134" w:type="dxa"/>
            <w:vMerge/>
            <w:shd w:val="clear" w:color="auto" w:fill="FFFFFF"/>
            <w:vAlign w:val="center"/>
          </w:tcPr>
          <w:p w:rsidR="00FC73A9" w:rsidRDefault="00FC73A9" w:rsidP="00D44373">
            <w:pPr>
              <w:jc w:val="center"/>
              <w:rPr>
                <w:rFonts w:ascii="仿宋" w:eastAsia="仿宋" w:hAnsi="仿宋" w:cs="仿宋"/>
                <w:b/>
                <w:bCs/>
                <w:color w:val="000000"/>
                <w:szCs w:val="24"/>
                <w:lang w:eastAsia="zh-CN"/>
              </w:rPr>
            </w:pPr>
          </w:p>
        </w:tc>
        <w:tc>
          <w:tcPr>
            <w:tcW w:w="8100" w:type="dxa"/>
            <w:shd w:val="clear" w:color="auto" w:fill="FFFFFF"/>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采集工具支持包括视图模式、文本传输协议（File Transfer Protocol，FTP）、安全文件传输协议（SSH File Transfer Protocol，SFTP）、超文本传输协议（Hypertext Transfer Protocol，HTTP）等多种数据接口采集模式，实现对数字影像的结构化与非结构化数据采集，具备数据稽核与数据校验功能，实现采集任务信息上传。具备数据采集监测、反馈功能，可对各医疗机构数据上传情况、服务器及相关服务运转情况、硬盘内存容量等进行监测，并对异常状态进行及时预警。</w:t>
            </w:r>
          </w:p>
        </w:tc>
      </w:tr>
      <w:tr w:rsidR="00FC73A9" w:rsidTr="00D44373">
        <w:trPr>
          <w:trHeight w:val="330"/>
        </w:trPr>
        <w:tc>
          <w:tcPr>
            <w:tcW w:w="1134" w:type="dxa"/>
            <w:vMerge/>
            <w:shd w:val="clear" w:color="auto" w:fill="FFFFFF"/>
            <w:vAlign w:val="center"/>
          </w:tcPr>
          <w:p w:rsidR="00FC73A9" w:rsidRDefault="00FC73A9" w:rsidP="00D44373">
            <w:pPr>
              <w:jc w:val="center"/>
              <w:rPr>
                <w:rFonts w:ascii="仿宋" w:eastAsia="仿宋" w:hAnsi="仿宋" w:cs="仿宋"/>
                <w:b/>
                <w:bCs/>
                <w:color w:val="000000"/>
                <w:szCs w:val="24"/>
                <w:lang w:eastAsia="zh-CN"/>
              </w:rPr>
            </w:pPr>
          </w:p>
        </w:tc>
        <w:tc>
          <w:tcPr>
            <w:tcW w:w="8100" w:type="dxa"/>
            <w:shd w:val="clear" w:color="auto" w:fill="FFFFFF"/>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数据信息覆盖影像检查的全流程（包括但不限于临床申请、预约分检、签到</w:t>
            </w:r>
            <w:r>
              <w:rPr>
                <w:rFonts w:ascii="仿宋" w:eastAsia="仿宋" w:hAnsi="仿宋" w:cs="仿宋" w:hint="eastAsia"/>
                <w:color w:val="000000"/>
                <w:sz w:val="24"/>
                <w:szCs w:val="24"/>
                <w:lang w:eastAsia="zh-CN"/>
              </w:rPr>
              <w:lastRenderedPageBreak/>
              <w:t>准备、设备检查、影像质控、报告书写、结果发布），其中影像序列数据应采用医学数字成像和通信（Digital Imaging and Communications in Medicine，DICOM）无损格式上传，医学影像检查数据的存储及传输过程应遵循DICOM3.0国际标准协议，满足《重庆市卫生健康委员会办公室关于印发重庆市数字医学影像服务工作指南与评价内容的通知》（渝卫办发〔2024〕3号）中的影像质量要求。</w:t>
            </w:r>
          </w:p>
        </w:tc>
      </w:tr>
      <w:tr w:rsidR="00FC73A9" w:rsidTr="00D44373">
        <w:trPr>
          <w:trHeight w:val="418"/>
        </w:trPr>
        <w:tc>
          <w:tcPr>
            <w:tcW w:w="1134" w:type="dxa"/>
            <w:vMerge w:val="restart"/>
            <w:vAlign w:val="center"/>
          </w:tcPr>
          <w:p w:rsidR="00FC73A9" w:rsidRDefault="00FC73A9" w:rsidP="00D44373">
            <w:pPr>
              <w:jc w:val="center"/>
              <w:rPr>
                <w:rFonts w:ascii="仿宋" w:eastAsia="仿宋" w:hAnsi="仿宋" w:cs="仿宋"/>
                <w:b/>
                <w:bCs/>
                <w:color w:val="000000"/>
                <w:szCs w:val="24"/>
              </w:rPr>
            </w:pPr>
            <w:r>
              <w:rPr>
                <w:rFonts w:ascii="仿宋" w:eastAsia="仿宋" w:hAnsi="仿宋" w:cs="仿宋" w:hint="eastAsia"/>
                <w:b/>
                <w:bCs/>
                <w:color w:val="000000"/>
                <w:sz w:val="24"/>
                <w:szCs w:val="24"/>
              </w:rPr>
              <w:lastRenderedPageBreak/>
              <w:t>数据</w:t>
            </w:r>
            <w:r>
              <w:rPr>
                <w:rFonts w:ascii="仿宋" w:eastAsia="仿宋" w:hAnsi="仿宋" w:cs="仿宋" w:hint="eastAsia"/>
                <w:b/>
                <w:bCs/>
                <w:color w:val="000000"/>
                <w:sz w:val="24"/>
                <w:szCs w:val="24"/>
                <w:lang w:eastAsia="zh-CN"/>
              </w:rPr>
              <w:t>存储服务</w:t>
            </w: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数据集中存储至重庆市卫生健康云，保障数据的完整性与安全性，实现医学影像检查结果数据智能、高效、融合、经济的存储。</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支持数据云端分类存储，按临床医生和患者的访问频率将数据分成热数据与冷数据两种类型。热数据指高频率访问的医学影像数据，即1年以内有访问的数据；冷数据指低频率访问的医学影像数据，即超过1年未访问的数据。</w:t>
            </w:r>
          </w:p>
        </w:tc>
      </w:tr>
      <w:tr w:rsidR="00FC73A9" w:rsidTr="00D44373">
        <w:trPr>
          <w:trHeight w:val="286"/>
        </w:trPr>
        <w:tc>
          <w:tcPr>
            <w:tcW w:w="1134" w:type="dxa"/>
            <w:vMerge/>
            <w:vAlign w:val="center"/>
          </w:tcPr>
          <w:p w:rsidR="00FC73A9" w:rsidRDefault="00FC73A9" w:rsidP="00D44373">
            <w:pPr>
              <w:widowControl/>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数据访问响应效率要求，热数据存储符合以下要求：1）数据可实时访问，首张影像加载访问延迟应小于3秒；2）采用可扩展的存储架构，当存储资源不足时应具备在线扩展能力，且不影响原存储系统的正常运行；3）采用多副本或纠删码的存储格式，保证业务99.99%高可用。冷数据存储符合以下要求：1）可实现数据延迟访问，访问延迟小于2小时；2）采用可扩展的存储架构，当存储资源不足时具备在线扩展能力，且不影响原存储系统的正常运行；3）采用多副本或纠删码的存储格式，保证业务99.9%高可用。</w:t>
            </w:r>
          </w:p>
        </w:tc>
      </w:tr>
      <w:tr w:rsidR="00FC73A9" w:rsidTr="00D44373">
        <w:trPr>
          <w:trHeight w:val="286"/>
        </w:trPr>
        <w:tc>
          <w:tcPr>
            <w:tcW w:w="1134" w:type="dxa"/>
            <w:vMerge/>
            <w:vAlign w:val="center"/>
          </w:tcPr>
          <w:p w:rsidR="00FC73A9" w:rsidRDefault="00FC73A9" w:rsidP="00D44373">
            <w:pPr>
              <w:widowControl/>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存储年限符合《关于印发电子病历应用管理规范（试行）的通知》（国卫办医发〔2017〕8号）中关于电子病历存储的要求，按上传至卫生健康云的时间起算不低于15年。</w:t>
            </w:r>
          </w:p>
        </w:tc>
      </w:tr>
      <w:tr w:rsidR="00FC73A9" w:rsidTr="00D44373">
        <w:trPr>
          <w:trHeight w:val="286"/>
        </w:trPr>
        <w:tc>
          <w:tcPr>
            <w:tcW w:w="1134" w:type="dxa"/>
            <w:vMerge w:val="restart"/>
            <w:vAlign w:val="center"/>
          </w:tcPr>
          <w:p w:rsidR="00FC73A9" w:rsidRDefault="00FC73A9" w:rsidP="00D44373">
            <w:pPr>
              <w:jc w:val="center"/>
              <w:rPr>
                <w:rFonts w:ascii="仿宋" w:eastAsia="仿宋" w:hAnsi="仿宋" w:cs="仿宋"/>
                <w:b/>
                <w:bCs/>
                <w:color w:val="000000"/>
                <w:szCs w:val="24"/>
              </w:rPr>
            </w:pPr>
            <w:r>
              <w:rPr>
                <w:rFonts w:ascii="仿宋" w:eastAsia="仿宋" w:hAnsi="仿宋" w:cs="仿宋" w:hint="eastAsia"/>
                <w:b/>
                <w:bCs/>
                <w:color w:val="000000"/>
                <w:sz w:val="24"/>
                <w:szCs w:val="24"/>
                <w:lang w:eastAsia="zh-CN"/>
              </w:rPr>
              <w:t>数据治理服务</w:t>
            </w: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满足《重庆市医疗机构信息系统数据质量评估办法》要求，通过数据质量管理的手段及工具，按照数字医学影像质量标准，对全量数据进行分析、监控、评估和改进，提升影像检查结果数据质量以及影像检查项目标准化。</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按数字医学影像质量标准进行治理，保障数字医学影像资料及时性、连续性、一致性、完整性、准确性。具备对影像检查结果数据质量监测的能力，对上传数据进行实时监测与反馈。</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具备对影像检查结果数据质量统计与分析的能力，便于卫生健康行业主管部门了解不同时间、区域、级别的医疗机构数据质量及问题。</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具备对医疗机构影像检查项目名称及编码规范化和标准化的能力，满足重复检查精准提醒、互认行为智能监管、互认成效精准统计的要求。</w:t>
            </w:r>
          </w:p>
        </w:tc>
      </w:tr>
      <w:tr w:rsidR="00FC73A9" w:rsidTr="00D44373">
        <w:trPr>
          <w:trHeight w:val="286"/>
        </w:trPr>
        <w:tc>
          <w:tcPr>
            <w:tcW w:w="1134" w:type="dxa"/>
            <w:vMerge w:val="restart"/>
            <w:vAlign w:val="center"/>
          </w:tcPr>
          <w:p w:rsidR="00FC73A9" w:rsidRDefault="00FC73A9" w:rsidP="00D44373">
            <w:pPr>
              <w:jc w:val="center"/>
              <w:rPr>
                <w:rFonts w:ascii="仿宋" w:eastAsia="仿宋" w:hAnsi="仿宋" w:cs="仿宋"/>
                <w:color w:val="000000"/>
                <w:szCs w:val="24"/>
              </w:rPr>
            </w:pPr>
            <w:r>
              <w:rPr>
                <w:rFonts w:ascii="仿宋" w:eastAsia="仿宋" w:hAnsi="仿宋" w:cs="仿宋" w:hint="eastAsia"/>
                <w:b/>
                <w:bCs/>
                <w:color w:val="000000"/>
                <w:sz w:val="24"/>
                <w:szCs w:val="24"/>
                <w:lang w:eastAsia="zh-CN"/>
              </w:rPr>
              <w:t>数据应用服务</w:t>
            </w: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支持医疗机构医生工作站、患者移动端调阅，满足管理端监管要求，服务经院内质控且符合市级质控要求，包含DICOM影像及报告、市级平台质控评价结果、市级患者主索引、患者授权记录、诊断意见引用记录、临床医生互认记录等数据集。</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rPr>
            </w:pPr>
            <w:r>
              <w:rPr>
                <w:rFonts w:ascii="仿宋" w:eastAsia="仿宋" w:hAnsi="仿宋" w:cs="仿宋" w:hint="eastAsia"/>
                <w:color w:val="000000"/>
                <w:sz w:val="24"/>
                <w:szCs w:val="24"/>
                <w:lang w:eastAsia="zh-CN"/>
              </w:rPr>
              <w:t>1、医疗机构端</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与HIS系统集成，打造“操作友好型”医生服务终端，达到提醒精准、调阅迅速、操作便捷的标准。</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具备患者授权许可功能，临床医生调阅患者数据前，必须经患者在当次就诊流程中通过扫码等方式授权。</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具备身份识别认证功能，患者身份识别认证可由电子健康码等多种方式提供，医生身份识别认证由国家卫生健康委员会电子化注册信息系统统一提供。</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具备主动查阅功能，临床医生在合法合规的情况下可被授权调阅患者在重庆市全生命周期影像检查档案的相关申请单、诊断报告及影像等数据。</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具备智能提醒功能，临床医生开具检查单时，对患者有类似检查且结果质量符合诊断要求的，根据互认项目和提醒周期配置，医生工作站自动弹出提醒信息。</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具备影像报告结果一键复制功能，医生可以复制引用“影像表现”和“诊断意见”至临床工作站，并对复制引用行为进行唯一ID标识，便于引用信息溯源。</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具备图像缩放、窗宽窗位调整、动态播放、逐页浏览、病灶CT值测量、大小测量、多序列对照、多平面重建（Multi-Planar Reformatting，MPR）、曲面重建（Curved Planar Reconstruction，CPR）三维重建等功能。支持正电子发射断层显像/X线计算机体层成像仪（Positron Emission Tomography/Computed Tomography，PET/CT）、正电子发射计算机断层显像/核磁共振成像(positron emission tomography/Magnetic Resonance Imaging，PET/MRI)的融合显示，四角信息符合《重庆市医学影像检查结果互认项目技术操作指南》要求。在重庆市卫生健康专网环境下，临床工作站调阅CT、MRI等热数据首张图片显示响应速度应在3秒以内，加载速度不低于10帧/秒。</w:t>
            </w:r>
          </w:p>
        </w:tc>
      </w:tr>
      <w:tr w:rsidR="00FC73A9" w:rsidTr="00D44373">
        <w:trPr>
          <w:trHeight w:val="636"/>
        </w:trPr>
        <w:tc>
          <w:tcPr>
            <w:tcW w:w="1134" w:type="dxa"/>
            <w:vMerge/>
            <w:vAlign w:val="center"/>
          </w:tcPr>
          <w:p w:rsidR="00FC73A9" w:rsidRDefault="00FC73A9" w:rsidP="00D44373">
            <w:pPr>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rPr>
            </w:pPr>
            <w:r>
              <w:rPr>
                <w:rFonts w:ascii="仿宋" w:eastAsia="仿宋" w:hAnsi="仿宋" w:cs="仿宋" w:hint="eastAsia"/>
                <w:color w:val="000000"/>
                <w:sz w:val="24"/>
                <w:szCs w:val="24"/>
                <w:lang w:eastAsia="zh-CN"/>
              </w:rPr>
              <w:t>2、患者移动端</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支持通过重庆市数字健康大脑智能组件中枢提供的授权认证、DICOM影像浏览器等组件实现相关功能，支持患者在移动端安全便捷地获取、查阅、个人全量DICOM影像以及结构化数字报告。</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具备数字医学影像资料获取功能，支持患者经身份认证和授权后自主获取本人医学影像资料，支持患者通过移动端授权临床医生在医疗机构端获取本人医学影像资料。</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具备数字医学影像资料查阅功能，向患者提供全生命周期影像档案全市统一聚合的查询服务，患者可通过市级公众服务平台以及多种服务入口（公众号、小程序等）查阅影像资料。</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具备数字医学影像资料下载功能，根据《重庆市卫生健康行业健康医疗数据资源管理办法》，下载功能指单次检查的数字医学影像资料以超链接方式获取，并具备限时、密码保护等安全策略。</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lang w:eastAsia="zh-CN"/>
              </w:rPr>
            </w:pPr>
          </w:p>
        </w:tc>
        <w:tc>
          <w:tcPr>
            <w:tcW w:w="8100" w:type="dxa"/>
            <w:vAlign w:val="center"/>
          </w:tcPr>
          <w:p w:rsidR="00FC73A9" w:rsidRDefault="00FC73A9" w:rsidP="00D44373">
            <w:pPr>
              <w:widowControl/>
              <w:rPr>
                <w:rFonts w:ascii="仿宋" w:eastAsia="仿宋" w:hAnsi="仿宋" w:cs="仿宋"/>
                <w:color w:val="000000"/>
                <w:szCs w:val="24"/>
              </w:rPr>
            </w:pPr>
            <w:r>
              <w:rPr>
                <w:rFonts w:ascii="仿宋" w:eastAsia="仿宋" w:hAnsi="仿宋" w:cs="仿宋" w:hint="eastAsia"/>
                <w:color w:val="000000"/>
                <w:sz w:val="24"/>
                <w:szCs w:val="24"/>
                <w:lang w:eastAsia="zh-CN"/>
              </w:rPr>
              <w:t>3、监管要求</w:t>
            </w:r>
          </w:p>
        </w:tc>
      </w:tr>
      <w:tr w:rsidR="00FC73A9" w:rsidTr="00D44373">
        <w:trPr>
          <w:trHeight w:val="286"/>
        </w:trPr>
        <w:tc>
          <w:tcPr>
            <w:tcW w:w="1134" w:type="dxa"/>
            <w:vMerge/>
            <w:vAlign w:val="center"/>
          </w:tcPr>
          <w:p w:rsidR="00FC73A9" w:rsidRDefault="00FC73A9" w:rsidP="00D44373">
            <w:pPr>
              <w:jc w:val="center"/>
              <w:rPr>
                <w:rFonts w:ascii="仿宋" w:eastAsia="仿宋" w:hAnsi="仿宋" w:cs="仿宋"/>
                <w:color w:val="000000"/>
                <w:szCs w:val="24"/>
              </w:rPr>
            </w:pPr>
          </w:p>
        </w:tc>
        <w:tc>
          <w:tcPr>
            <w:tcW w:w="8100" w:type="dxa"/>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在各公共服务平台对外开放前需完成应用管理登记和备案，遵循应用管理流程。具备对检查设备信息、调阅互认行为、数据质量、影像质控、检查费用、医保报销、检查耗材等指标的监管能力，满足按时间、区域、医疗机构等维度对医疗机构的互认行为及数字医学影像服务全流程、全链条进行监管和分析的监管要求。</w:t>
            </w:r>
          </w:p>
        </w:tc>
      </w:tr>
      <w:tr w:rsidR="00FC73A9" w:rsidTr="00D44373">
        <w:tblPrEx>
          <w:tblCellMar>
            <w:top w:w="0" w:type="dxa"/>
            <w:left w:w="108" w:type="dxa"/>
            <w:bottom w:w="0" w:type="dxa"/>
            <w:right w:w="108" w:type="dxa"/>
          </w:tblCellMar>
        </w:tblPrEx>
        <w:trPr>
          <w:trHeight w:val="480"/>
        </w:trPr>
        <w:tc>
          <w:tcPr>
            <w:tcW w:w="1134" w:type="dxa"/>
            <w:vMerge w:val="restart"/>
            <w:shd w:val="clear" w:color="auto" w:fill="auto"/>
            <w:noWrap/>
            <w:vAlign w:val="center"/>
          </w:tcPr>
          <w:p w:rsidR="00FC73A9" w:rsidRDefault="00FC73A9" w:rsidP="00D44373">
            <w:pPr>
              <w:widowControl/>
              <w:wordWrap w:val="0"/>
              <w:snapToGrid w:val="0"/>
              <w:contextualSpacing/>
              <w:rPr>
                <w:rFonts w:ascii="仿宋" w:eastAsia="仿宋" w:hAnsi="仿宋" w:cs="仿宋"/>
                <w:color w:val="000000"/>
                <w:szCs w:val="24"/>
              </w:rPr>
            </w:pPr>
            <w:r>
              <w:rPr>
                <w:rFonts w:ascii="仿宋" w:eastAsia="仿宋" w:hAnsi="仿宋" w:cs="仿宋" w:hint="eastAsia"/>
                <w:b/>
                <w:bCs/>
                <w:color w:val="000000"/>
                <w:sz w:val="24"/>
                <w:szCs w:val="24"/>
                <w:lang w:eastAsia="zh-CN"/>
              </w:rPr>
              <w:t>患者端技术要求</w:t>
            </w:r>
          </w:p>
        </w:tc>
        <w:tc>
          <w:tcPr>
            <w:tcW w:w="8100" w:type="dxa"/>
            <w:shd w:val="clear" w:color="auto" w:fill="auto"/>
            <w:noWrap/>
            <w:vAlign w:val="center"/>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可使用渝快办APP、渝康健、医院公众号或小程序等方式获取数字影像。</w:t>
            </w:r>
          </w:p>
        </w:tc>
      </w:tr>
      <w:tr w:rsidR="00FC73A9" w:rsidTr="00D44373">
        <w:tblPrEx>
          <w:tblCellMar>
            <w:top w:w="0" w:type="dxa"/>
            <w:left w:w="108" w:type="dxa"/>
            <w:bottom w:w="0" w:type="dxa"/>
            <w:right w:w="108" w:type="dxa"/>
          </w:tblCellMar>
        </w:tblPrEx>
        <w:trPr>
          <w:trHeight w:val="276"/>
        </w:trPr>
        <w:tc>
          <w:tcPr>
            <w:tcW w:w="1134" w:type="dxa"/>
            <w:vMerge/>
            <w:vAlign w:val="center"/>
          </w:tcPr>
          <w:p w:rsidR="00FC73A9" w:rsidRDefault="00FC73A9" w:rsidP="00D44373">
            <w:pPr>
              <w:widowControl/>
              <w:wordWrap w:val="0"/>
              <w:snapToGrid w:val="0"/>
              <w:ind w:firstLineChars="200" w:firstLine="440"/>
              <w:contextualSpacing/>
              <w:rPr>
                <w:rFonts w:ascii="仿宋" w:eastAsia="仿宋" w:hAnsi="仿宋" w:cs="仿宋"/>
                <w:color w:val="000000"/>
                <w:szCs w:val="24"/>
                <w:lang w:eastAsia="zh-CN"/>
              </w:rPr>
            </w:pPr>
          </w:p>
        </w:tc>
        <w:tc>
          <w:tcPr>
            <w:tcW w:w="8100" w:type="dxa"/>
            <w:shd w:val="clear" w:color="auto" w:fill="auto"/>
            <w:noWrap/>
            <w:vAlign w:val="center"/>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界面操作友好，能满足患者的基本要求。</w:t>
            </w:r>
          </w:p>
        </w:tc>
      </w:tr>
      <w:tr w:rsidR="00FC73A9" w:rsidTr="00D44373">
        <w:tblPrEx>
          <w:tblCellMar>
            <w:top w:w="0" w:type="dxa"/>
            <w:left w:w="108" w:type="dxa"/>
            <w:bottom w:w="0" w:type="dxa"/>
            <w:right w:w="108" w:type="dxa"/>
          </w:tblCellMar>
        </w:tblPrEx>
        <w:trPr>
          <w:trHeight w:val="276"/>
        </w:trPr>
        <w:tc>
          <w:tcPr>
            <w:tcW w:w="1134" w:type="dxa"/>
            <w:vMerge/>
            <w:vAlign w:val="center"/>
          </w:tcPr>
          <w:p w:rsidR="00FC73A9" w:rsidRDefault="00FC73A9" w:rsidP="00D44373">
            <w:pPr>
              <w:widowControl/>
              <w:wordWrap w:val="0"/>
              <w:snapToGrid w:val="0"/>
              <w:ind w:firstLineChars="200" w:firstLine="440"/>
              <w:contextualSpacing/>
              <w:rPr>
                <w:rFonts w:ascii="仿宋" w:eastAsia="仿宋" w:hAnsi="仿宋" w:cs="仿宋"/>
                <w:color w:val="000000"/>
                <w:szCs w:val="24"/>
                <w:lang w:eastAsia="zh-CN"/>
              </w:rPr>
            </w:pPr>
          </w:p>
        </w:tc>
        <w:tc>
          <w:tcPr>
            <w:tcW w:w="8100" w:type="dxa"/>
            <w:shd w:val="clear" w:color="auto" w:fill="auto"/>
            <w:noWrap/>
            <w:vAlign w:val="center"/>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支持各类影像数据的一体化平台集成应用。</w:t>
            </w:r>
          </w:p>
        </w:tc>
      </w:tr>
      <w:tr w:rsidR="00FC73A9" w:rsidTr="00D44373">
        <w:tblPrEx>
          <w:tblCellMar>
            <w:top w:w="0" w:type="dxa"/>
            <w:left w:w="108" w:type="dxa"/>
            <w:bottom w:w="0" w:type="dxa"/>
            <w:right w:w="108" w:type="dxa"/>
          </w:tblCellMar>
        </w:tblPrEx>
        <w:trPr>
          <w:trHeight w:val="276"/>
        </w:trPr>
        <w:tc>
          <w:tcPr>
            <w:tcW w:w="1134" w:type="dxa"/>
            <w:vMerge/>
            <w:vAlign w:val="center"/>
          </w:tcPr>
          <w:p w:rsidR="00FC73A9" w:rsidRDefault="00FC73A9" w:rsidP="00D44373">
            <w:pPr>
              <w:widowControl/>
              <w:wordWrap w:val="0"/>
              <w:snapToGrid w:val="0"/>
              <w:ind w:firstLineChars="200" w:firstLine="440"/>
              <w:contextualSpacing/>
              <w:rPr>
                <w:rFonts w:ascii="仿宋" w:eastAsia="仿宋" w:hAnsi="仿宋" w:cs="仿宋"/>
                <w:color w:val="000000"/>
                <w:szCs w:val="24"/>
                <w:lang w:eastAsia="zh-CN"/>
              </w:rPr>
            </w:pPr>
          </w:p>
        </w:tc>
        <w:tc>
          <w:tcPr>
            <w:tcW w:w="8100" w:type="dxa"/>
            <w:shd w:val="clear" w:color="auto" w:fill="auto"/>
            <w:noWrap/>
            <w:vAlign w:val="center"/>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支持 DICOM 格式阅览图像。</w:t>
            </w:r>
          </w:p>
        </w:tc>
      </w:tr>
      <w:tr w:rsidR="00FC73A9" w:rsidTr="00D44373">
        <w:tblPrEx>
          <w:tblCellMar>
            <w:top w:w="0" w:type="dxa"/>
            <w:left w:w="108" w:type="dxa"/>
            <w:bottom w:w="0" w:type="dxa"/>
            <w:right w:w="108" w:type="dxa"/>
          </w:tblCellMar>
        </w:tblPrEx>
        <w:trPr>
          <w:trHeight w:val="276"/>
        </w:trPr>
        <w:tc>
          <w:tcPr>
            <w:tcW w:w="1134" w:type="dxa"/>
            <w:vMerge/>
            <w:shd w:val="clear" w:color="auto" w:fill="auto"/>
            <w:noWrap/>
            <w:vAlign w:val="center"/>
          </w:tcPr>
          <w:p w:rsidR="00FC73A9" w:rsidRDefault="00FC73A9" w:rsidP="00D44373">
            <w:pPr>
              <w:widowControl/>
              <w:wordWrap w:val="0"/>
              <w:snapToGrid w:val="0"/>
              <w:ind w:firstLineChars="200" w:firstLine="442"/>
              <w:contextualSpacing/>
              <w:rPr>
                <w:rFonts w:ascii="仿宋" w:eastAsia="仿宋" w:hAnsi="仿宋" w:cs="仿宋"/>
                <w:b/>
                <w:bCs/>
                <w:color w:val="000000"/>
                <w:szCs w:val="24"/>
                <w:lang w:eastAsia="zh-CN"/>
              </w:rPr>
            </w:pPr>
          </w:p>
        </w:tc>
        <w:tc>
          <w:tcPr>
            <w:tcW w:w="8100" w:type="dxa"/>
            <w:shd w:val="clear" w:color="auto" w:fill="auto"/>
            <w:noWrap/>
            <w:vAlign w:val="center"/>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具备患者影像及报告分享功能，分享时长可自行选择5min、0.5h、1h、24</w:t>
            </w:r>
            <w:r>
              <w:rPr>
                <w:rFonts w:ascii="仿宋" w:eastAsia="仿宋" w:hAnsi="仿宋" w:cs="仿宋" w:hint="eastAsia"/>
                <w:color w:val="000000"/>
                <w:sz w:val="24"/>
                <w:szCs w:val="24"/>
                <w:lang w:eastAsia="zh-CN"/>
              </w:rPr>
              <w:lastRenderedPageBreak/>
              <w:t>h，同时具备加密设置功能。</w:t>
            </w:r>
          </w:p>
        </w:tc>
      </w:tr>
      <w:tr w:rsidR="00FC73A9" w:rsidTr="00D44373">
        <w:tblPrEx>
          <w:tblCellMar>
            <w:top w:w="0" w:type="dxa"/>
            <w:left w:w="108" w:type="dxa"/>
            <w:bottom w:w="0" w:type="dxa"/>
            <w:right w:w="108" w:type="dxa"/>
          </w:tblCellMar>
        </w:tblPrEx>
        <w:trPr>
          <w:trHeight w:val="344"/>
        </w:trPr>
        <w:tc>
          <w:tcPr>
            <w:tcW w:w="1134" w:type="dxa"/>
            <w:vMerge/>
            <w:shd w:val="clear" w:color="auto" w:fill="auto"/>
            <w:noWrap/>
            <w:vAlign w:val="center"/>
          </w:tcPr>
          <w:p w:rsidR="00FC73A9" w:rsidRDefault="00FC73A9" w:rsidP="00D44373">
            <w:pPr>
              <w:jc w:val="center"/>
              <w:rPr>
                <w:rFonts w:ascii="仿宋" w:eastAsia="仿宋" w:hAnsi="仿宋" w:cs="仿宋"/>
                <w:b/>
                <w:bCs/>
                <w:color w:val="000000"/>
                <w:szCs w:val="24"/>
                <w:lang w:eastAsia="zh-CN"/>
              </w:rPr>
            </w:pPr>
          </w:p>
        </w:tc>
        <w:tc>
          <w:tcPr>
            <w:tcW w:w="8100" w:type="dxa"/>
            <w:shd w:val="clear" w:color="000000" w:fill="FFFFFF"/>
            <w:noWrap/>
            <w:vAlign w:val="center"/>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分享报告涵盖医院名称、患者姓名、年龄/性别、检查号、检查类型、检查部位、检查项目名称、申请日期、检查日期、报告日期、影像表现、诊断意见、报告\审核医师。</w:t>
            </w:r>
          </w:p>
        </w:tc>
      </w:tr>
      <w:tr w:rsidR="00FC73A9" w:rsidTr="00D44373">
        <w:tblPrEx>
          <w:tblCellMar>
            <w:top w:w="0" w:type="dxa"/>
            <w:left w:w="108" w:type="dxa"/>
            <w:bottom w:w="0" w:type="dxa"/>
            <w:right w:w="108" w:type="dxa"/>
          </w:tblCellMar>
        </w:tblPrEx>
        <w:trPr>
          <w:trHeight w:val="276"/>
        </w:trPr>
        <w:tc>
          <w:tcPr>
            <w:tcW w:w="1134" w:type="dxa"/>
            <w:shd w:val="clear" w:color="auto" w:fill="auto"/>
            <w:noWrap/>
            <w:vAlign w:val="center"/>
          </w:tcPr>
          <w:p w:rsidR="00FC73A9" w:rsidRDefault="00FC73A9" w:rsidP="00D44373">
            <w:pPr>
              <w:jc w:val="center"/>
              <w:rPr>
                <w:rFonts w:ascii="仿宋" w:eastAsia="仿宋" w:hAnsi="仿宋" w:cs="仿宋"/>
                <w:b/>
                <w:bCs/>
                <w:color w:val="000000"/>
                <w:szCs w:val="24"/>
              </w:rPr>
            </w:pPr>
            <w:r>
              <w:rPr>
                <w:rFonts w:ascii="仿宋" w:eastAsia="仿宋" w:hAnsi="仿宋" w:cs="仿宋" w:hint="eastAsia"/>
                <w:b/>
                <w:bCs/>
                <w:color w:val="000000"/>
                <w:sz w:val="24"/>
                <w:szCs w:val="24"/>
                <w:lang w:eastAsia="zh-CN"/>
              </w:rPr>
              <w:t>注册登录技术要求</w:t>
            </w:r>
          </w:p>
        </w:tc>
        <w:tc>
          <w:tcPr>
            <w:tcW w:w="8100" w:type="dxa"/>
            <w:shd w:val="clear" w:color="000000" w:fill="FFFFFF"/>
            <w:noWrap/>
            <w:vAlign w:val="center"/>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用户可通过渝快办、渝康健进行电子健康卡授权登录。</w:t>
            </w:r>
          </w:p>
        </w:tc>
      </w:tr>
      <w:tr w:rsidR="00FC73A9" w:rsidTr="00D44373">
        <w:tblPrEx>
          <w:tblCellMar>
            <w:top w:w="0" w:type="dxa"/>
            <w:left w:w="108" w:type="dxa"/>
            <w:bottom w:w="0" w:type="dxa"/>
            <w:right w:w="108" w:type="dxa"/>
          </w:tblCellMar>
        </w:tblPrEx>
        <w:trPr>
          <w:trHeight w:val="276"/>
        </w:trPr>
        <w:tc>
          <w:tcPr>
            <w:tcW w:w="1134" w:type="dxa"/>
            <w:vMerge w:val="restart"/>
            <w:shd w:val="clear" w:color="auto" w:fill="auto"/>
            <w:noWrap/>
            <w:vAlign w:val="center"/>
          </w:tcPr>
          <w:p w:rsidR="00FC73A9" w:rsidRDefault="00FC73A9" w:rsidP="00D44373">
            <w:pPr>
              <w:jc w:val="center"/>
              <w:rPr>
                <w:rFonts w:ascii="仿宋" w:eastAsia="仿宋" w:hAnsi="仿宋" w:cs="仿宋"/>
                <w:b/>
                <w:bCs/>
                <w:color w:val="000000"/>
                <w:szCs w:val="24"/>
              </w:rPr>
            </w:pPr>
            <w:r>
              <w:rPr>
                <w:rFonts w:ascii="仿宋" w:eastAsia="仿宋" w:hAnsi="仿宋" w:cs="仿宋" w:hint="eastAsia"/>
                <w:b/>
                <w:bCs/>
                <w:color w:val="000000"/>
                <w:sz w:val="24"/>
                <w:szCs w:val="24"/>
                <w:lang w:eastAsia="zh-CN"/>
              </w:rPr>
              <w:t>影像报告技术要求</w:t>
            </w:r>
          </w:p>
        </w:tc>
        <w:tc>
          <w:tcPr>
            <w:tcW w:w="8100" w:type="dxa"/>
            <w:shd w:val="clear" w:color="000000" w:fill="FFFFFF"/>
            <w:noWrap/>
            <w:vAlign w:val="center"/>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实现通过院内上传的检查数据，在报告审核通过后，患者均可以查看数字影像。</w:t>
            </w:r>
          </w:p>
        </w:tc>
      </w:tr>
      <w:tr w:rsidR="00FC73A9" w:rsidTr="00D44373">
        <w:tblPrEx>
          <w:tblCellMar>
            <w:top w:w="0" w:type="dxa"/>
            <w:left w:w="108" w:type="dxa"/>
            <w:bottom w:w="0" w:type="dxa"/>
            <w:right w:w="108" w:type="dxa"/>
          </w:tblCellMar>
        </w:tblPrEx>
        <w:trPr>
          <w:trHeight w:val="276"/>
        </w:trPr>
        <w:tc>
          <w:tcPr>
            <w:tcW w:w="1134" w:type="dxa"/>
            <w:vMerge/>
            <w:vAlign w:val="center"/>
          </w:tcPr>
          <w:p w:rsidR="00FC73A9" w:rsidRDefault="00FC73A9" w:rsidP="00D44373">
            <w:pPr>
              <w:jc w:val="center"/>
              <w:rPr>
                <w:rFonts w:ascii="仿宋" w:eastAsia="仿宋" w:hAnsi="仿宋" w:cs="仿宋"/>
                <w:b/>
                <w:bCs/>
                <w:color w:val="000000"/>
                <w:szCs w:val="24"/>
                <w:lang w:eastAsia="zh-CN"/>
              </w:rPr>
            </w:pPr>
          </w:p>
        </w:tc>
        <w:tc>
          <w:tcPr>
            <w:tcW w:w="8100" w:type="dxa"/>
            <w:shd w:val="clear" w:color="000000" w:fill="FFFFFF"/>
            <w:noWrap/>
            <w:vAlign w:val="center"/>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为选择数字胶片的患者提供影像报告调阅服务。</w:t>
            </w:r>
          </w:p>
        </w:tc>
      </w:tr>
      <w:tr w:rsidR="00FC73A9" w:rsidTr="00D44373">
        <w:tblPrEx>
          <w:tblCellMar>
            <w:top w:w="0" w:type="dxa"/>
            <w:left w:w="108" w:type="dxa"/>
            <w:bottom w:w="0" w:type="dxa"/>
            <w:right w:w="108" w:type="dxa"/>
          </w:tblCellMar>
        </w:tblPrEx>
        <w:trPr>
          <w:trHeight w:val="288"/>
        </w:trPr>
        <w:tc>
          <w:tcPr>
            <w:tcW w:w="1134" w:type="dxa"/>
            <w:vMerge/>
            <w:shd w:val="clear" w:color="auto" w:fill="auto"/>
            <w:noWrap/>
            <w:vAlign w:val="center"/>
          </w:tcPr>
          <w:p w:rsidR="00FC73A9" w:rsidRDefault="00FC73A9" w:rsidP="00D44373">
            <w:pPr>
              <w:jc w:val="center"/>
              <w:rPr>
                <w:rFonts w:ascii="仿宋" w:eastAsia="仿宋" w:hAnsi="仿宋" w:cs="仿宋"/>
                <w:b/>
                <w:bCs/>
                <w:color w:val="000000"/>
                <w:szCs w:val="24"/>
                <w:lang w:eastAsia="zh-CN"/>
              </w:rPr>
            </w:pPr>
          </w:p>
        </w:tc>
        <w:tc>
          <w:tcPr>
            <w:tcW w:w="8100" w:type="dxa"/>
            <w:shd w:val="clear" w:color="000000" w:fill="FFFFFF"/>
            <w:noWrap/>
            <w:vAlign w:val="center"/>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可按时间轴倒序查看历次检查列表。</w:t>
            </w:r>
          </w:p>
        </w:tc>
      </w:tr>
      <w:tr w:rsidR="00FC73A9" w:rsidTr="00D44373">
        <w:tblPrEx>
          <w:tblCellMar>
            <w:top w:w="0" w:type="dxa"/>
            <w:left w:w="108" w:type="dxa"/>
            <w:bottom w:w="0" w:type="dxa"/>
            <w:right w:w="108" w:type="dxa"/>
          </w:tblCellMar>
        </w:tblPrEx>
        <w:trPr>
          <w:trHeight w:val="288"/>
        </w:trPr>
        <w:tc>
          <w:tcPr>
            <w:tcW w:w="1134" w:type="dxa"/>
            <w:vMerge/>
            <w:shd w:val="clear" w:color="auto" w:fill="auto"/>
            <w:noWrap/>
            <w:vAlign w:val="center"/>
          </w:tcPr>
          <w:p w:rsidR="00FC73A9" w:rsidRDefault="00FC73A9" w:rsidP="00D44373">
            <w:pPr>
              <w:jc w:val="center"/>
              <w:rPr>
                <w:rFonts w:ascii="仿宋" w:eastAsia="仿宋" w:hAnsi="仿宋" w:cs="仿宋"/>
                <w:color w:val="000000" w:themeColor="text1"/>
                <w:szCs w:val="24"/>
                <w:lang w:eastAsia="zh-CN"/>
              </w:rPr>
            </w:pPr>
          </w:p>
        </w:tc>
        <w:tc>
          <w:tcPr>
            <w:tcW w:w="8100" w:type="dxa"/>
            <w:shd w:val="clear" w:color="000000" w:fill="FFFFFF"/>
            <w:noWrap/>
            <w:vAlign w:val="center"/>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支持显示检查数据及报告信息。</w:t>
            </w:r>
          </w:p>
        </w:tc>
      </w:tr>
      <w:tr w:rsidR="00FC73A9" w:rsidTr="00D44373">
        <w:tblPrEx>
          <w:tblCellMar>
            <w:top w:w="0" w:type="dxa"/>
            <w:left w:w="108" w:type="dxa"/>
            <w:bottom w:w="0" w:type="dxa"/>
            <w:right w:w="108" w:type="dxa"/>
          </w:tblCellMar>
        </w:tblPrEx>
        <w:trPr>
          <w:trHeight w:val="276"/>
        </w:trPr>
        <w:tc>
          <w:tcPr>
            <w:tcW w:w="1134" w:type="dxa"/>
            <w:vMerge w:val="restart"/>
            <w:shd w:val="clear" w:color="auto" w:fill="auto"/>
            <w:vAlign w:val="center"/>
          </w:tcPr>
          <w:p w:rsidR="00FC73A9" w:rsidRDefault="00FC73A9" w:rsidP="00D44373">
            <w:pPr>
              <w:jc w:val="center"/>
              <w:rPr>
                <w:rFonts w:ascii="仿宋" w:eastAsia="仿宋" w:hAnsi="仿宋" w:cs="仿宋"/>
                <w:b/>
                <w:bCs/>
                <w:color w:val="000000"/>
                <w:szCs w:val="24"/>
              </w:rPr>
            </w:pPr>
            <w:r>
              <w:rPr>
                <w:rFonts w:ascii="仿宋" w:eastAsia="仿宋" w:hAnsi="仿宋" w:cs="仿宋" w:hint="eastAsia"/>
                <w:b/>
                <w:bCs/>
                <w:color w:val="000000"/>
                <w:sz w:val="24"/>
                <w:szCs w:val="24"/>
                <w:lang w:eastAsia="zh-CN"/>
              </w:rPr>
              <w:t>影像阅片技术要求</w:t>
            </w:r>
          </w:p>
          <w:p w:rsidR="00FC73A9" w:rsidRDefault="00FC73A9" w:rsidP="00D44373">
            <w:pPr>
              <w:jc w:val="center"/>
              <w:rPr>
                <w:rFonts w:ascii="仿宋" w:eastAsia="仿宋" w:hAnsi="仿宋" w:cs="仿宋"/>
                <w:color w:val="000000" w:themeColor="text1"/>
                <w:szCs w:val="24"/>
              </w:rPr>
            </w:pPr>
          </w:p>
          <w:p w:rsidR="00FC73A9" w:rsidRDefault="00FC73A9" w:rsidP="00D44373">
            <w:pPr>
              <w:pStyle w:val="a3"/>
              <w:rPr>
                <w:rFonts w:ascii="仿宋" w:eastAsia="仿宋" w:hAnsi="仿宋" w:cs="仿宋"/>
                <w:color w:val="000000" w:themeColor="text1"/>
                <w:sz w:val="24"/>
                <w:szCs w:val="24"/>
              </w:rPr>
            </w:pPr>
          </w:p>
          <w:p w:rsidR="00FC73A9" w:rsidRDefault="00FC73A9" w:rsidP="00D44373">
            <w:pPr>
              <w:pStyle w:val="a3"/>
              <w:rPr>
                <w:rFonts w:ascii="仿宋" w:eastAsia="仿宋" w:hAnsi="仿宋" w:cs="仿宋"/>
                <w:color w:val="000000" w:themeColor="text1"/>
                <w:sz w:val="24"/>
                <w:szCs w:val="24"/>
              </w:rPr>
            </w:pPr>
          </w:p>
        </w:tc>
        <w:tc>
          <w:tcPr>
            <w:tcW w:w="8100" w:type="dxa"/>
            <w:shd w:val="clear" w:color="000000" w:fill="FFFFFF"/>
            <w:noWrap/>
            <w:vAlign w:val="bottom"/>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支持PET-CT、PET-MRI的融合显示，四角信息符合《重庆市医学影像检查结果互认项目技术操作指南》要求。</w:t>
            </w:r>
          </w:p>
        </w:tc>
      </w:tr>
      <w:tr w:rsidR="00FC73A9" w:rsidTr="00D44373">
        <w:tblPrEx>
          <w:tblCellMar>
            <w:top w:w="0" w:type="dxa"/>
            <w:left w:w="108" w:type="dxa"/>
            <w:bottom w:w="0" w:type="dxa"/>
            <w:right w:w="108" w:type="dxa"/>
          </w:tblCellMar>
        </w:tblPrEx>
        <w:trPr>
          <w:trHeight w:val="276"/>
        </w:trPr>
        <w:tc>
          <w:tcPr>
            <w:tcW w:w="1134" w:type="dxa"/>
            <w:vMerge/>
            <w:vAlign w:val="center"/>
          </w:tcPr>
          <w:p w:rsidR="00FC73A9" w:rsidRDefault="00FC73A9" w:rsidP="00D44373">
            <w:pPr>
              <w:jc w:val="center"/>
              <w:rPr>
                <w:rFonts w:ascii="仿宋" w:eastAsia="仿宋" w:hAnsi="仿宋" w:cs="仿宋"/>
                <w:color w:val="000000" w:themeColor="text1"/>
                <w:szCs w:val="24"/>
                <w:lang w:eastAsia="zh-CN"/>
              </w:rPr>
            </w:pPr>
          </w:p>
        </w:tc>
        <w:tc>
          <w:tcPr>
            <w:tcW w:w="8100" w:type="dxa"/>
            <w:shd w:val="clear" w:color="000000" w:fill="FFFFFF"/>
            <w:noWrap/>
            <w:vAlign w:val="center"/>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具备移动端影像极速阅片模式，通过“极速”按钮进行切换（需提供系统界面截图证明）</w:t>
            </w:r>
          </w:p>
        </w:tc>
      </w:tr>
      <w:tr w:rsidR="00FC73A9" w:rsidTr="00D44373">
        <w:tblPrEx>
          <w:tblCellMar>
            <w:top w:w="0" w:type="dxa"/>
            <w:left w:w="108" w:type="dxa"/>
            <w:bottom w:w="0" w:type="dxa"/>
            <w:right w:w="108" w:type="dxa"/>
          </w:tblCellMar>
        </w:tblPrEx>
        <w:trPr>
          <w:trHeight w:val="278"/>
        </w:trPr>
        <w:tc>
          <w:tcPr>
            <w:tcW w:w="1134" w:type="dxa"/>
            <w:vMerge/>
            <w:vAlign w:val="center"/>
          </w:tcPr>
          <w:p w:rsidR="00FC73A9" w:rsidRDefault="00FC73A9" w:rsidP="00D44373">
            <w:pPr>
              <w:jc w:val="center"/>
              <w:rPr>
                <w:rFonts w:ascii="仿宋" w:eastAsia="仿宋" w:hAnsi="仿宋" w:cs="仿宋"/>
                <w:color w:val="000000" w:themeColor="text1"/>
                <w:szCs w:val="24"/>
                <w:lang w:eastAsia="zh-CN"/>
              </w:rPr>
            </w:pPr>
          </w:p>
        </w:tc>
        <w:tc>
          <w:tcPr>
            <w:tcW w:w="8100" w:type="dxa"/>
            <w:shd w:val="clear" w:color="000000" w:fill="FFFFFF"/>
            <w:noWrap/>
            <w:vAlign w:val="center"/>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具备影像序列选择、复位、平移、旋转、测量、调窗、播放等功能。</w:t>
            </w:r>
          </w:p>
        </w:tc>
      </w:tr>
      <w:tr w:rsidR="00FC73A9" w:rsidTr="00D44373">
        <w:tblPrEx>
          <w:tblCellMar>
            <w:top w:w="0" w:type="dxa"/>
            <w:left w:w="108" w:type="dxa"/>
            <w:bottom w:w="0" w:type="dxa"/>
            <w:right w:w="108" w:type="dxa"/>
          </w:tblCellMar>
        </w:tblPrEx>
        <w:trPr>
          <w:trHeight w:val="276"/>
        </w:trPr>
        <w:tc>
          <w:tcPr>
            <w:tcW w:w="1134" w:type="dxa"/>
            <w:vMerge/>
            <w:vAlign w:val="center"/>
          </w:tcPr>
          <w:p w:rsidR="00FC73A9" w:rsidRDefault="00FC73A9" w:rsidP="00D44373">
            <w:pPr>
              <w:jc w:val="center"/>
              <w:rPr>
                <w:rFonts w:ascii="仿宋" w:eastAsia="仿宋" w:hAnsi="仿宋" w:cs="仿宋"/>
                <w:color w:val="000000" w:themeColor="text1"/>
                <w:szCs w:val="24"/>
                <w:lang w:eastAsia="zh-CN"/>
              </w:rPr>
            </w:pPr>
          </w:p>
        </w:tc>
        <w:tc>
          <w:tcPr>
            <w:tcW w:w="8100" w:type="dxa"/>
            <w:shd w:val="clear" w:color="000000" w:fill="FFFFFF"/>
            <w:noWrap/>
            <w:vAlign w:val="center"/>
          </w:tcPr>
          <w:p w:rsidR="00FC73A9" w:rsidRDefault="00FC73A9" w:rsidP="00D44373">
            <w:pPr>
              <w:pStyle w:val="a3"/>
              <w:rPr>
                <w:lang w:eastAsia="zh-CN"/>
              </w:rPr>
            </w:pPr>
            <w:r>
              <w:rPr>
                <w:rFonts w:ascii="仿宋" w:eastAsia="仿宋" w:hAnsi="仿宋" w:cs="仿宋" w:hint="eastAsia"/>
                <w:color w:val="000000"/>
                <w:sz w:val="24"/>
                <w:szCs w:val="24"/>
                <w:lang w:eastAsia="zh-CN"/>
              </w:rPr>
              <w:t>可自行可以调整影像阅片布局，如：1*1、2*1、2*2。</w:t>
            </w:r>
          </w:p>
        </w:tc>
      </w:tr>
      <w:tr w:rsidR="00FC73A9" w:rsidTr="00D44373">
        <w:tblPrEx>
          <w:tblCellMar>
            <w:top w:w="0" w:type="dxa"/>
            <w:left w:w="108" w:type="dxa"/>
            <w:bottom w:w="0" w:type="dxa"/>
            <w:right w:w="108" w:type="dxa"/>
          </w:tblCellMar>
        </w:tblPrEx>
        <w:trPr>
          <w:trHeight w:val="276"/>
        </w:trPr>
        <w:tc>
          <w:tcPr>
            <w:tcW w:w="1134" w:type="dxa"/>
            <w:vMerge/>
            <w:vAlign w:val="center"/>
          </w:tcPr>
          <w:p w:rsidR="00FC73A9" w:rsidRDefault="00FC73A9" w:rsidP="00D44373">
            <w:pPr>
              <w:pStyle w:val="a3"/>
              <w:rPr>
                <w:rFonts w:ascii="仿宋" w:eastAsia="仿宋" w:hAnsi="仿宋" w:cs="仿宋"/>
                <w:color w:val="000000" w:themeColor="text1"/>
                <w:sz w:val="24"/>
                <w:szCs w:val="24"/>
                <w:lang w:eastAsia="zh-CN"/>
              </w:rPr>
            </w:pPr>
          </w:p>
        </w:tc>
        <w:tc>
          <w:tcPr>
            <w:tcW w:w="8100" w:type="dxa"/>
            <w:shd w:val="clear" w:color="000000" w:fill="FFFFFF"/>
            <w:noWrap/>
            <w:vAlign w:val="bottom"/>
          </w:tcPr>
          <w:p w:rsidR="00FC73A9" w:rsidRDefault="00FC73A9" w:rsidP="00D44373">
            <w:pPr>
              <w:widowControl/>
              <w:wordWrap w:val="0"/>
              <w:snapToGrid w:val="0"/>
              <w:contextualSpacing/>
              <w:rPr>
                <w:rFonts w:ascii="仿宋" w:eastAsia="仿宋" w:hAnsi="仿宋" w:cs="仿宋"/>
                <w:color w:val="000000"/>
                <w:szCs w:val="24"/>
              </w:rPr>
            </w:pPr>
            <w:r>
              <w:rPr>
                <w:rFonts w:ascii="仿宋" w:eastAsia="仿宋" w:hAnsi="仿宋" w:cs="仿宋" w:hint="eastAsia"/>
                <w:color w:val="000000"/>
                <w:sz w:val="24"/>
                <w:szCs w:val="24"/>
                <w:lang w:eastAsia="zh-CN"/>
              </w:rPr>
              <w:t>支持Dicom模式查看影像。</w:t>
            </w:r>
          </w:p>
        </w:tc>
      </w:tr>
      <w:tr w:rsidR="00FC73A9" w:rsidTr="00D44373">
        <w:tblPrEx>
          <w:tblCellMar>
            <w:top w:w="0" w:type="dxa"/>
            <w:left w:w="108" w:type="dxa"/>
            <w:bottom w:w="0" w:type="dxa"/>
            <w:right w:w="108" w:type="dxa"/>
          </w:tblCellMar>
        </w:tblPrEx>
        <w:trPr>
          <w:trHeight w:val="276"/>
        </w:trPr>
        <w:tc>
          <w:tcPr>
            <w:tcW w:w="1134" w:type="dxa"/>
            <w:vMerge/>
            <w:vAlign w:val="center"/>
          </w:tcPr>
          <w:p w:rsidR="00FC73A9" w:rsidRDefault="00FC73A9" w:rsidP="00D44373">
            <w:pPr>
              <w:pStyle w:val="a3"/>
              <w:rPr>
                <w:rFonts w:ascii="仿宋" w:eastAsia="仿宋" w:hAnsi="仿宋" w:cs="仿宋"/>
                <w:color w:val="000000" w:themeColor="text1"/>
                <w:sz w:val="24"/>
                <w:szCs w:val="24"/>
              </w:rPr>
            </w:pPr>
          </w:p>
        </w:tc>
        <w:tc>
          <w:tcPr>
            <w:tcW w:w="8100" w:type="dxa"/>
            <w:shd w:val="clear" w:color="000000" w:fill="FFFFFF"/>
            <w:noWrap/>
            <w:vAlign w:val="bottom"/>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首次调阅CT、MRI等热数据响应速度≤3s，加载速度不低于10帧/秒。</w:t>
            </w:r>
          </w:p>
        </w:tc>
      </w:tr>
      <w:tr w:rsidR="00FC73A9" w:rsidTr="00D44373">
        <w:tblPrEx>
          <w:tblCellMar>
            <w:top w:w="0" w:type="dxa"/>
            <w:left w:w="108" w:type="dxa"/>
            <w:bottom w:w="0" w:type="dxa"/>
            <w:right w:w="108" w:type="dxa"/>
          </w:tblCellMar>
        </w:tblPrEx>
        <w:trPr>
          <w:trHeight w:val="276"/>
        </w:trPr>
        <w:tc>
          <w:tcPr>
            <w:tcW w:w="1134" w:type="dxa"/>
            <w:vMerge/>
            <w:vAlign w:val="center"/>
          </w:tcPr>
          <w:p w:rsidR="00FC73A9" w:rsidRDefault="00FC73A9" w:rsidP="00D44373">
            <w:pPr>
              <w:pStyle w:val="a3"/>
              <w:rPr>
                <w:rFonts w:ascii="仿宋" w:eastAsia="仿宋" w:hAnsi="仿宋" w:cs="仿宋"/>
                <w:color w:val="000000" w:themeColor="text1"/>
                <w:sz w:val="24"/>
                <w:szCs w:val="24"/>
                <w:lang w:eastAsia="zh-CN"/>
              </w:rPr>
            </w:pPr>
          </w:p>
        </w:tc>
        <w:tc>
          <w:tcPr>
            <w:tcW w:w="8100" w:type="dxa"/>
            <w:shd w:val="clear" w:color="000000" w:fill="FFFFFF"/>
            <w:noWrap/>
            <w:vAlign w:val="bottom"/>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需支持调节图像窗宽窗位；支持一键选择常用窗宽窗位，如默认、头部、肺部、胸部、心脏、腹部、肝脏、骨骼等；支持反色功能。</w:t>
            </w:r>
          </w:p>
        </w:tc>
      </w:tr>
      <w:tr w:rsidR="00FC73A9" w:rsidTr="00D44373">
        <w:tblPrEx>
          <w:tblCellMar>
            <w:top w:w="0" w:type="dxa"/>
            <w:left w:w="108" w:type="dxa"/>
            <w:bottom w:w="0" w:type="dxa"/>
            <w:right w:w="108" w:type="dxa"/>
          </w:tblCellMar>
        </w:tblPrEx>
        <w:trPr>
          <w:trHeight w:val="276"/>
        </w:trPr>
        <w:tc>
          <w:tcPr>
            <w:tcW w:w="1134" w:type="dxa"/>
            <w:vMerge/>
            <w:vAlign w:val="center"/>
          </w:tcPr>
          <w:p w:rsidR="00FC73A9" w:rsidRDefault="00FC73A9" w:rsidP="00D44373">
            <w:pPr>
              <w:pStyle w:val="a3"/>
              <w:rPr>
                <w:rFonts w:ascii="仿宋" w:eastAsia="仿宋" w:hAnsi="仿宋" w:cs="仿宋"/>
                <w:color w:val="000000" w:themeColor="text1"/>
                <w:sz w:val="24"/>
                <w:szCs w:val="24"/>
                <w:lang w:eastAsia="zh-CN"/>
              </w:rPr>
            </w:pPr>
          </w:p>
        </w:tc>
        <w:tc>
          <w:tcPr>
            <w:tcW w:w="8100" w:type="dxa"/>
            <w:shd w:val="clear" w:color="000000" w:fill="FFFFFF"/>
            <w:noWrap/>
            <w:vAlign w:val="center"/>
          </w:tcPr>
          <w:p w:rsidR="00FC73A9" w:rsidRDefault="00FC73A9" w:rsidP="00D44373">
            <w:pPr>
              <w:widowControl/>
              <w:wordWrap w:val="0"/>
              <w:snapToGrid w:val="0"/>
              <w:contextualSpacing/>
              <w:rPr>
                <w:rFonts w:ascii="仿宋" w:eastAsia="仿宋" w:hAnsi="仿宋" w:cs="仿宋"/>
                <w:color w:val="000000"/>
                <w:szCs w:val="24"/>
              </w:rPr>
            </w:pPr>
            <w:r>
              <w:rPr>
                <w:rFonts w:ascii="仿宋" w:eastAsia="仿宋" w:hAnsi="仿宋" w:cs="仿宋" w:hint="eastAsia"/>
                <w:color w:val="000000"/>
                <w:sz w:val="24"/>
                <w:szCs w:val="24"/>
                <w:lang w:eastAsia="zh-CN"/>
              </w:rPr>
              <w:t>支持影像基本操作。</w:t>
            </w:r>
          </w:p>
        </w:tc>
      </w:tr>
      <w:tr w:rsidR="00FC73A9" w:rsidTr="00D44373">
        <w:tblPrEx>
          <w:tblCellMar>
            <w:top w:w="0" w:type="dxa"/>
            <w:left w:w="108" w:type="dxa"/>
            <w:bottom w:w="0" w:type="dxa"/>
            <w:right w:w="108" w:type="dxa"/>
          </w:tblCellMar>
        </w:tblPrEx>
        <w:trPr>
          <w:trHeight w:val="276"/>
        </w:trPr>
        <w:tc>
          <w:tcPr>
            <w:tcW w:w="1134" w:type="dxa"/>
            <w:vMerge/>
            <w:vAlign w:val="center"/>
          </w:tcPr>
          <w:p w:rsidR="00FC73A9" w:rsidRDefault="00FC73A9" w:rsidP="00D44373">
            <w:pPr>
              <w:pStyle w:val="a3"/>
              <w:rPr>
                <w:rFonts w:ascii="仿宋" w:eastAsia="仿宋" w:hAnsi="仿宋" w:cs="仿宋"/>
                <w:color w:val="000000" w:themeColor="text1"/>
                <w:sz w:val="24"/>
                <w:szCs w:val="24"/>
              </w:rPr>
            </w:pPr>
          </w:p>
        </w:tc>
        <w:tc>
          <w:tcPr>
            <w:tcW w:w="8100" w:type="dxa"/>
            <w:shd w:val="clear" w:color="000000" w:fill="FFFFFF"/>
            <w:noWrap/>
            <w:vAlign w:val="center"/>
          </w:tcPr>
          <w:p w:rsidR="00FC73A9" w:rsidRDefault="00FC73A9" w:rsidP="00D44373">
            <w:pPr>
              <w:widowControl/>
              <w:wordWrap w:val="0"/>
              <w:snapToGrid w:val="0"/>
              <w:contextualSpacing/>
              <w:rPr>
                <w:rFonts w:ascii="仿宋" w:eastAsia="仿宋" w:hAnsi="仿宋" w:cs="仿宋"/>
                <w:color w:val="000000"/>
                <w:szCs w:val="24"/>
              </w:rPr>
            </w:pPr>
            <w:r>
              <w:rPr>
                <w:rFonts w:ascii="仿宋" w:eastAsia="仿宋" w:hAnsi="仿宋" w:cs="仿宋" w:hint="eastAsia"/>
                <w:color w:val="000000"/>
                <w:sz w:val="24"/>
                <w:szCs w:val="24"/>
                <w:lang w:eastAsia="zh-CN"/>
              </w:rPr>
              <w:t>Dicom模式下，对于数量≥50张的序列，检查类型为CT/MR/PET的影像可实现MPR重建功能。</w:t>
            </w:r>
          </w:p>
        </w:tc>
      </w:tr>
      <w:tr w:rsidR="00FC73A9" w:rsidTr="00D44373">
        <w:tblPrEx>
          <w:tblCellMar>
            <w:top w:w="0" w:type="dxa"/>
            <w:left w:w="108" w:type="dxa"/>
            <w:bottom w:w="0" w:type="dxa"/>
            <w:right w:w="108" w:type="dxa"/>
          </w:tblCellMar>
        </w:tblPrEx>
        <w:trPr>
          <w:trHeight w:val="276"/>
        </w:trPr>
        <w:tc>
          <w:tcPr>
            <w:tcW w:w="1134" w:type="dxa"/>
            <w:vMerge/>
            <w:vAlign w:val="center"/>
          </w:tcPr>
          <w:p w:rsidR="00FC73A9" w:rsidRDefault="00FC73A9" w:rsidP="00D44373">
            <w:pPr>
              <w:pStyle w:val="a3"/>
              <w:rPr>
                <w:rFonts w:ascii="仿宋" w:eastAsia="仿宋" w:hAnsi="仿宋" w:cs="仿宋"/>
                <w:color w:val="000000" w:themeColor="text1"/>
                <w:sz w:val="24"/>
                <w:szCs w:val="24"/>
              </w:rPr>
            </w:pPr>
          </w:p>
        </w:tc>
        <w:tc>
          <w:tcPr>
            <w:tcW w:w="8100" w:type="dxa"/>
            <w:shd w:val="clear" w:color="000000" w:fill="FFFFFF"/>
            <w:noWrap/>
            <w:vAlign w:val="center"/>
          </w:tcPr>
          <w:p w:rsidR="00FC73A9" w:rsidRDefault="00FC73A9" w:rsidP="00D44373">
            <w:pPr>
              <w:widowControl/>
              <w:wordWrap w:val="0"/>
              <w:snapToGrid w:val="0"/>
              <w:contextualSpacing/>
              <w:rPr>
                <w:rFonts w:ascii="仿宋" w:eastAsia="仿宋" w:hAnsi="仿宋" w:cs="仿宋"/>
                <w:color w:val="000000"/>
                <w:szCs w:val="24"/>
                <w:lang w:eastAsia="zh-CN"/>
              </w:rPr>
            </w:pPr>
            <w:r>
              <w:rPr>
                <w:rFonts w:ascii="仿宋" w:eastAsia="仿宋" w:hAnsi="仿宋" w:cs="仿宋" w:hint="eastAsia"/>
                <w:color w:val="000000"/>
                <w:sz w:val="24"/>
                <w:szCs w:val="24"/>
                <w:lang w:eastAsia="zh-CN"/>
              </w:rPr>
              <w:t>MPR重建后，支持选中图像切换方向，包含矢状位、冠状位、轴状位。</w:t>
            </w:r>
          </w:p>
        </w:tc>
      </w:tr>
      <w:tr w:rsidR="00FC73A9" w:rsidTr="00D44373">
        <w:tblPrEx>
          <w:tblCellMar>
            <w:top w:w="0" w:type="dxa"/>
            <w:left w:w="108" w:type="dxa"/>
            <w:bottom w:w="0" w:type="dxa"/>
            <w:right w:w="108" w:type="dxa"/>
          </w:tblCellMar>
        </w:tblPrEx>
        <w:trPr>
          <w:trHeight w:val="276"/>
        </w:trPr>
        <w:tc>
          <w:tcPr>
            <w:tcW w:w="1134" w:type="dxa"/>
            <w:vMerge/>
            <w:vAlign w:val="center"/>
          </w:tcPr>
          <w:p w:rsidR="00FC73A9" w:rsidRDefault="00FC73A9" w:rsidP="00D44373">
            <w:pPr>
              <w:pStyle w:val="a3"/>
              <w:rPr>
                <w:rFonts w:ascii="仿宋" w:eastAsia="仿宋" w:hAnsi="仿宋" w:cs="仿宋"/>
                <w:color w:val="000000" w:themeColor="text1"/>
                <w:sz w:val="24"/>
                <w:szCs w:val="24"/>
                <w:lang w:eastAsia="zh-CN"/>
              </w:rPr>
            </w:pPr>
          </w:p>
        </w:tc>
        <w:tc>
          <w:tcPr>
            <w:tcW w:w="8100" w:type="dxa"/>
            <w:shd w:val="clear" w:color="000000" w:fill="FFFFFF"/>
            <w:noWrap/>
            <w:vAlign w:val="center"/>
          </w:tcPr>
          <w:p w:rsidR="00FC73A9" w:rsidRDefault="00FC73A9" w:rsidP="00D44373">
            <w:pPr>
              <w:widowControl/>
              <w:wordWrap w:val="0"/>
              <w:snapToGrid w:val="0"/>
              <w:contextualSpacing/>
              <w:rPr>
                <w:rFonts w:ascii="仿宋" w:eastAsia="仿宋" w:hAnsi="仿宋" w:cs="仿宋"/>
                <w:color w:val="000000"/>
                <w:szCs w:val="24"/>
              </w:rPr>
            </w:pPr>
            <w:r>
              <w:rPr>
                <w:rFonts w:ascii="仿宋" w:eastAsia="仿宋" w:hAnsi="仿宋" w:cs="仿宋" w:hint="eastAsia"/>
                <w:color w:val="000000"/>
                <w:sz w:val="24"/>
                <w:szCs w:val="24"/>
                <w:lang w:eastAsia="zh-CN"/>
              </w:rPr>
              <w:t>MPR重建后，支持快速切换层厚的功能，包含MIP、MipIP、AvgIP、0.1mm、0.5mm、1mm、20mm、40mm、80mm、160mm。</w:t>
            </w:r>
          </w:p>
        </w:tc>
      </w:tr>
      <w:tr w:rsidR="00FC73A9" w:rsidTr="00D44373">
        <w:tblPrEx>
          <w:tblCellMar>
            <w:top w:w="0" w:type="dxa"/>
            <w:left w:w="108" w:type="dxa"/>
            <w:bottom w:w="0" w:type="dxa"/>
            <w:right w:w="108" w:type="dxa"/>
          </w:tblCellMar>
        </w:tblPrEx>
        <w:trPr>
          <w:trHeight w:val="276"/>
        </w:trPr>
        <w:tc>
          <w:tcPr>
            <w:tcW w:w="1134" w:type="dxa"/>
            <w:shd w:val="clear" w:color="auto" w:fill="auto"/>
            <w:vAlign w:val="center"/>
          </w:tcPr>
          <w:p w:rsidR="00FC73A9" w:rsidRDefault="00FC73A9" w:rsidP="00D44373">
            <w:pPr>
              <w:jc w:val="center"/>
              <w:rPr>
                <w:rFonts w:ascii="仿宋" w:eastAsia="仿宋" w:hAnsi="仿宋" w:cs="仿宋"/>
                <w:color w:val="000000"/>
                <w:szCs w:val="24"/>
              </w:rPr>
            </w:pPr>
            <w:r>
              <w:rPr>
                <w:rFonts w:ascii="仿宋" w:eastAsia="仿宋" w:hAnsi="仿宋" w:cs="仿宋" w:hint="eastAsia"/>
                <w:b/>
                <w:bCs/>
                <w:color w:val="000000"/>
                <w:sz w:val="24"/>
                <w:szCs w:val="24"/>
                <w:lang w:eastAsia="zh-CN"/>
              </w:rPr>
              <w:t>安全服务</w:t>
            </w:r>
          </w:p>
        </w:tc>
        <w:tc>
          <w:tcPr>
            <w:tcW w:w="8100" w:type="dxa"/>
            <w:shd w:val="clear" w:color="auto" w:fill="auto"/>
            <w:noWrap/>
            <w:vAlign w:val="center"/>
          </w:tcPr>
          <w:p w:rsidR="00FC73A9" w:rsidRDefault="00FC73A9" w:rsidP="00D44373">
            <w:pPr>
              <w:widowControl/>
              <w:rPr>
                <w:rFonts w:ascii="仿宋" w:eastAsia="仿宋" w:hAnsi="仿宋" w:cs="仿宋"/>
                <w:color w:val="000000"/>
                <w:szCs w:val="24"/>
                <w:lang w:eastAsia="zh-CN"/>
              </w:rPr>
            </w:pPr>
            <w:r>
              <w:rPr>
                <w:rFonts w:ascii="仿宋" w:eastAsia="仿宋" w:hAnsi="仿宋" w:cs="仿宋" w:hint="eastAsia"/>
                <w:color w:val="000000"/>
                <w:sz w:val="24"/>
                <w:szCs w:val="24"/>
                <w:lang w:eastAsia="zh-CN"/>
              </w:rPr>
              <w:t>按照《中华人民共和国网络安全法》《中华人民共和国数据安全法》《中华人民共和国密码法》《中华人民共和国个人信息保护法》相关规定，数字医学影像服务采用安全的传输协议、必要的安全防护措施、严格的边界防护策略、有效的个人隐私保护手段，保障数据安全，防止个人信息泄露。应当满足三级以上网络安全等级保护和关键信息基础设施安全保护要求，确保数字医学影像服务安全。</w:t>
            </w:r>
          </w:p>
        </w:tc>
      </w:tr>
    </w:tbl>
    <w:p w:rsidR="00FC73A9" w:rsidRDefault="00FC73A9" w:rsidP="00FC73A9">
      <w:pPr>
        <w:spacing w:line="200" w:lineRule="exact"/>
        <w:rPr>
          <w:lang w:eastAsia="zh-CN"/>
        </w:rPr>
      </w:pPr>
    </w:p>
    <w:p w:rsidR="00402BE9" w:rsidRPr="00FC73A9" w:rsidRDefault="00402BE9" w:rsidP="00FC73A9">
      <w:pPr>
        <w:rPr>
          <w:lang w:eastAsia="zh-CN"/>
        </w:rPr>
      </w:pPr>
    </w:p>
    <w:sectPr w:rsidR="00402BE9" w:rsidRPr="00FC73A9" w:rsidSect="0045390C">
      <w:footerReference w:type="default" r:id="rId8"/>
      <w:pgSz w:w="11906" w:h="16840"/>
      <w:pgMar w:top="1320" w:right="1558" w:bottom="1380" w:left="1276" w:header="0" w:footer="11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DB3" w:rsidRDefault="00DE4DB3">
      <w:r>
        <w:separator/>
      </w:r>
    </w:p>
  </w:endnote>
  <w:endnote w:type="continuationSeparator" w:id="0">
    <w:p w:rsidR="00DE4DB3" w:rsidRDefault="00DE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92" w:rsidRDefault="00FC73A9">
    <w:pPr>
      <w:spacing w:line="200" w:lineRule="exact"/>
      <w:rPr>
        <w:sz w:val="20"/>
        <w:szCs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3681095</wp:posOffset>
              </wp:positionH>
              <wp:positionV relativeFrom="page">
                <wp:posOffset>9800590</wp:posOffset>
              </wp:positionV>
              <wp:extent cx="241300" cy="140970"/>
              <wp:effectExtent l="4445" t="0"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E92" w:rsidRDefault="00402BE9">
                          <w:pPr>
                            <w:spacing w:line="206"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b/>
                              <w:bCs/>
                              <w:sz w:val="18"/>
                              <w:szCs w:val="18"/>
                            </w:rPr>
                            <w:instrText xml:space="preserve"> PAGE </w:instrText>
                          </w:r>
                          <w:r>
                            <w:fldChar w:fldCharType="separate"/>
                          </w:r>
                          <w:r w:rsidR="00FC73A9">
                            <w:rPr>
                              <w:rFonts w:ascii="Times New Roman" w:eastAsia="Times New Roman" w:hAnsi="Times New Roman" w:cs="Times New Roman"/>
                              <w:b/>
                              <w:bCs/>
                              <w:noProof/>
                              <w:sz w:val="18"/>
                              <w:szCs w:val="18"/>
                            </w:rPr>
                            <w:t>2</w:t>
                          </w:r>
                          <w:r>
                            <w:fldChar w:fldCharType="end"/>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b/>
                              <w:bCs/>
                              <w:sz w:val="18"/>
                              <w:szCs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85pt;margin-top:771.7pt;width:19pt;height:1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xDqw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" filled="f" stroked="f">
              <v:textbox inset="0,0,0,0">
                <w:txbxContent>
                  <w:p w:rsidR="00671E92" w:rsidRDefault="00402BE9">
                    <w:pPr>
                      <w:spacing w:line="206"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b/>
                        <w:bCs/>
                        <w:sz w:val="18"/>
                        <w:szCs w:val="18"/>
                      </w:rPr>
                      <w:instrText xml:space="preserve"> PAGE </w:instrText>
                    </w:r>
                    <w:r>
                      <w:fldChar w:fldCharType="separate"/>
                    </w:r>
                    <w:r w:rsidR="00FC73A9">
                      <w:rPr>
                        <w:rFonts w:ascii="Times New Roman" w:eastAsia="Times New Roman" w:hAnsi="Times New Roman" w:cs="Times New Roman"/>
                        <w:b/>
                        <w:bCs/>
                        <w:noProof/>
                        <w:sz w:val="18"/>
                        <w:szCs w:val="18"/>
                      </w:rPr>
                      <w:t>2</w:t>
                    </w:r>
                    <w:r>
                      <w:fldChar w:fldCharType="end"/>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b/>
                        <w:bCs/>
                        <w:sz w:val="18"/>
                        <w:szCs w:val="18"/>
                      </w:rPr>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DB3" w:rsidRDefault="00DE4DB3">
      <w:r>
        <w:separator/>
      </w:r>
    </w:p>
  </w:footnote>
  <w:footnote w:type="continuationSeparator" w:id="0">
    <w:p w:rsidR="00DE4DB3" w:rsidRDefault="00DE4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E92"/>
    <w:rsid w:val="00181350"/>
    <w:rsid w:val="00402BE9"/>
    <w:rsid w:val="004322BC"/>
    <w:rsid w:val="0045390C"/>
    <w:rsid w:val="00671E92"/>
    <w:rsid w:val="00693B4D"/>
    <w:rsid w:val="00AA3A1F"/>
    <w:rsid w:val="00C76D22"/>
    <w:rsid w:val="00C81D81"/>
    <w:rsid w:val="00DE4DB3"/>
    <w:rsid w:val="00FC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2666"/>
      <w:outlineLvl w:val="0"/>
    </w:pPr>
    <w:rPr>
      <w:rFonts w:ascii="方正小标宋_GBK" w:eastAsia="方正小标宋_GBK" w:hAnsi="方正小标宋_GBK"/>
      <w:sz w:val="40"/>
      <w:szCs w:val="40"/>
    </w:rPr>
  </w:style>
  <w:style w:type="paragraph" w:styleId="2">
    <w:name w:val="heading 2"/>
    <w:basedOn w:val="a"/>
    <w:link w:val="2Char"/>
    <w:uiPriority w:val="1"/>
    <w:qFormat/>
    <w:pPr>
      <w:outlineLvl w:val="1"/>
    </w:pPr>
    <w:rPr>
      <w:rFonts w:ascii="方正仿宋_GBK" w:eastAsia="方正仿宋_GBK" w:hAnsi="方正仿宋_GB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pPr>
      <w:ind w:left="720"/>
    </w:pPr>
    <w:rPr>
      <w:rFonts w:ascii="方正仿宋_GBK" w:eastAsia="方正仿宋_GBK" w:hAnsi="方正仿宋_GBK"/>
      <w:sz w:val="30"/>
      <w:szCs w:val="30"/>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181350"/>
    <w:rPr>
      <w:color w:val="0000FF" w:themeColor="hyperlink"/>
      <w:u w:val="single"/>
    </w:rPr>
  </w:style>
  <w:style w:type="paragraph" w:styleId="a6">
    <w:name w:val="Title"/>
    <w:basedOn w:val="a"/>
    <w:next w:val="a"/>
    <w:link w:val="Char0"/>
    <w:autoRedefine/>
    <w:uiPriority w:val="10"/>
    <w:qFormat/>
    <w:rsid w:val="00AA3A1F"/>
    <w:pPr>
      <w:spacing w:before="240" w:after="60" w:line="360" w:lineRule="auto"/>
      <w:jc w:val="center"/>
      <w:outlineLvl w:val="0"/>
    </w:pPr>
    <w:rPr>
      <w:rFonts w:asciiTheme="majorHAnsi" w:eastAsiaTheme="majorEastAsia" w:hAnsiTheme="majorHAnsi" w:cstheme="majorBidi"/>
      <w:b/>
      <w:bCs/>
      <w:kern w:val="2"/>
      <w:sz w:val="32"/>
      <w:szCs w:val="32"/>
      <w:lang w:eastAsia="zh-CN"/>
    </w:rPr>
  </w:style>
  <w:style w:type="character" w:customStyle="1" w:styleId="Char0">
    <w:name w:val="标题 Char"/>
    <w:basedOn w:val="a0"/>
    <w:link w:val="a6"/>
    <w:uiPriority w:val="10"/>
    <w:qFormat/>
    <w:rsid w:val="00AA3A1F"/>
    <w:rPr>
      <w:rFonts w:asciiTheme="majorHAnsi" w:eastAsiaTheme="majorEastAsia" w:hAnsiTheme="majorHAnsi" w:cstheme="majorBidi"/>
      <w:b/>
      <w:bCs/>
      <w:kern w:val="2"/>
      <w:sz w:val="32"/>
      <w:szCs w:val="32"/>
      <w:lang w:eastAsia="zh-CN"/>
    </w:rPr>
  </w:style>
  <w:style w:type="paragraph" w:customStyle="1" w:styleId="a7">
    <w:name w:val="_正文"/>
    <w:basedOn w:val="a"/>
    <w:autoRedefine/>
    <w:qFormat/>
    <w:rsid w:val="00AA3A1F"/>
    <w:pPr>
      <w:spacing w:line="360" w:lineRule="auto"/>
      <w:ind w:firstLineChars="200" w:firstLine="200"/>
      <w:jc w:val="both"/>
    </w:pPr>
    <w:rPr>
      <w:rFonts w:ascii="Calibri" w:hAnsi="Calibri" w:cs="Times New Roman"/>
      <w:kern w:val="2"/>
      <w:sz w:val="24"/>
      <w:szCs w:val="21"/>
      <w:lang w:eastAsia="zh-CN"/>
    </w:rPr>
  </w:style>
  <w:style w:type="paragraph" w:styleId="a8">
    <w:name w:val="header"/>
    <w:basedOn w:val="a"/>
    <w:link w:val="Char1"/>
    <w:uiPriority w:val="99"/>
    <w:unhideWhenUsed/>
    <w:rsid w:val="00FC73A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FC73A9"/>
    <w:rPr>
      <w:sz w:val="18"/>
      <w:szCs w:val="18"/>
    </w:rPr>
  </w:style>
  <w:style w:type="paragraph" w:styleId="a9">
    <w:name w:val="footer"/>
    <w:basedOn w:val="a"/>
    <w:link w:val="Char2"/>
    <w:uiPriority w:val="99"/>
    <w:unhideWhenUsed/>
    <w:rsid w:val="00FC73A9"/>
    <w:pPr>
      <w:tabs>
        <w:tab w:val="center" w:pos="4153"/>
        <w:tab w:val="right" w:pos="8306"/>
      </w:tabs>
      <w:snapToGrid w:val="0"/>
    </w:pPr>
    <w:rPr>
      <w:sz w:val="18"/>
      <w:szCs w:val="18"/>
    </w:rPr>
  </w:style>
  <w:style w:type="character" w:customStyle="1" w:styleId="Char2">
    <w:name w:val="页脚 Char"/>
    <w:basedOn w:val="a0"/>
    <w:link w:val="a9"/>
    <w:uiPriority w:val="99"/>
    <w:rsid w:val="00FC73A9"/>
    <w:rPr>
      <w:sz w:val="18"/>
      <w:szCs w:val="18"/>
    </w:rPr>
  </w:style>
  <w:style w:type="character" w:customStyle="1" w:styleId="2Char">
    <w:name w:val="标题 2 Char"/>
    <w:basedOn w:val="a0"/>
    <w:link w:val="2"/>
    <w:uiPriority w:val="1"/>
    <w:rsid w:val="00FC73A9"/>
    <w:rPr>
      <w:rFonts w:ascii="方正仿宋_GBK" w:eastAsia="方正仿宋_GBK" w:hAnsi="方正仿宋_GBK"/>
      <w:sz w:val="32"/>
      <w:szCs w:val="32"/>
    </w:rPr>
  </w:style>
  <w:style w:type="character" w:customStyle="1" w:styleId="Char">
    <w:name w:val="正文文本 Char"/>
    <w:basedOn w:val="a0"/>
    <w:link w:val="a3"/>
    <w:uiPriority w:val="1"/>
    <w:rsid w:val="00FC73A9"/>
    <w:rPr>
      <w:rFonts w:ascii="方正仿宋_GBK" w:eastAsia="方正仿宋_GBK" w:hAnsi="方正仿宋_GBK"/>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2666"/>
      <w:outlineLvl w:val="0"/>
    </w:pPr>
    <w:rPr>
      <w:rFonts w:ascii="方正小标宋_GBK" w:eastAsia="方正小标宋_GBK" w:hAnsi="方正小标宋_GBK"/>
      <w:sz w:val="40"/>
      <w:szCs w:val="40"/>
    </w:rPr>
  </w:style>
  <w:style w:type="paragraph" w:styleId="2">
    <w:name w:val="heading 2"/>
    <w:basedOn w:val="a"/>
    <w:link w:val="2Char"/>
    <w:uiPriority w:val="1"/>
    <w:qFormat/>
    <w:pPr>
      <w:outlineLvl w:val="1"/>
    </w:pPr>
    <w:rPr>
      <w:rFonts w:ascii="方正仿宋_GBK" w:eastAsia="方正仿宋_GBK" w:hAnsi="方正仿宋_GB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pPr>
      <w:ind w:left="720"/>
    </w:pPr>
    <w:rPr>
      <w:rFonts w:ascii="方正仿宋_GBK" w:eastAsia="方正仿宋_GBK" w:hAnsi="方正仿宋_GBK"/>
      <w:sz w:val="30"/>
      <w:szCs w:val="30"/>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181350"/>
    <w:rPr>
      <w:color w:val="0000FF" w:themeColor="hyperlink"/>
      <w:u w:val="single"/>
    </w:rPr>
  </w:style>
  <w:style w:type="paragraph" w:styleId="a6">
    <w:name w:val="Title"/>
    <w:basedOn w:val="a"/>
    <w:next w:val="a"/>
    <w:link w:val="Char0"/>
    <w:autoRedefine/>
    <w:uiPriority w:val="10"/>
    <w:qFormat/>
    <w:rsid w:val="00AA3A1F"/>
    <w:pPr>
      <w:spacing w:before="240" w:after="60" w:line="360" w:lineRule="auto"/>
      <w:jc w:val="center"/>
      <w:outlineLvl w:val="0"/>
    </w:pPr>
    <w:rPr>
      <w:rFonts w:asciiTheme="majorHAnsi" w:eastAsiaTheme="majorEastAsia" w:hAnsiTheme="majorHAnsi" w:cstheme="majorBidi"/>
      <w:b/>
      <w:bCs/>
      <w:kern w:val="2"/>
      <w:sz w:val="32"/>
      <w:szCs w:val="32"/>
      <w:lang w:eastAsia="zh-CN"/>
    </w:rPr>
  </w:style>
  <w:style w:type="character" w:customStyle="1" w:styleId="Char0">
    <w:name w:val="标题 Char"/>
    <w:basedOn w:val="a0"/>
    <w:link w:val="a6"/>
    <w:uiPriority w:val="10"/>
    <w:qFormat/>
    <w:rsid w:val="00AA3A1F"/>
    <w:rPr>
      <w:rFonts w:asciiTheme="majorHAnsi" w:eastAsiaTheme="majorEastAsia" w:hAnsiTheme="majorHAnsi" w:cstheme="majorBidi"/>
      <w:b/>
      <w:bCs/>
      <w:kern w:val="2"/>
      <w:sz w:val="32"/>
      <w:szCs w:val="32"/>
      <w:lang w:eastAsia="zh-CN"/>
    </w:rPr>
  </w:style>
  <w:style w:type="paragraph" w:customStyle="1" w:styleId="a7">
    <w:name w:val="_正文"/>
    <w:basedOn w:val="a"/>
    <w:autoRedefine/>
    <w:qFormat/>
    <w:rsid w:val="00AA3A1F"/>
    <w:pPr>
      <w:spacing w:line="360" w:lineRule="auto"/>
      <w:ind w:firstLineChars="200" w:firstLine="200"/>
      <w:jc w:val="both"/>
    </w:pPr>
    <w:rPr>
      <w:rFonts w:ascii="Calibri" w:hAnsi="Calibri" w:cs="Times New Roman"/>
      <w:kern w:val="2"/>
      <w:sz w:val="24"/>
      <w:szCs w:val="21"/>
      <w:lang w:eastAsia="zh-CN"/>
    </w:rPr>
  </w:style>
  <w:style w:type="paragraph" w:styleId="a8">
    <w:name w:val="header"/>
    <w:basedOn w:val="a"/>
    <w:link w:val="Char1"/>
    <w:uiPriority w:val="99"/>
    <w:unhideWhenUsed/>
    <w:rsid w:val="00FC73A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FC73A9"/>
    <w:rPr>
      <w:sz w:val="18"/>
      <w:szCs w:val="18"/>
    </w:rPr>
  </w:style>
  <w:style w:type="paragraph" w:styleId="a9">
    <w:name w:val="footer"/>
    <w:basedOn w:val="a"/>
    <w:link w:val="Char2"/>
    <w:uiPriority w:val="99"/>
    <w:unhideWhenUsed/>
    <w:rsid w:val="00FC73A9"/>
    <w:pPr>
      <w:tabs>
        <w:tab w:val="center" w:pos="4153"/>
        <w:tab w:val="right" w:pos="8306"/>
      </w:tabs>
      <w:snapToGrid w:val="0"/>
    </w:pPr>
    <w:rPr>
      <w:sz w:val="18"/>
      <w:szCs w:val="18"/>
    </w:rPr>
  </w:style>
  <w:style w:type="character" w:customStyle="1" w:styleId="Char2">
    <w:name w:val="页脚 Char"/>
    <w:basedOn w:val="a0"/>
    <w:link w:val="a9"/>
    <w:uiPriority w:val="99"/>
    <w:rsid w:val="00FC73A9"/>
    <w:rPr>
      <w:sz w:val="18"/>
      <w:szCs w:val="18"/>
    </w:rPr>
  </w:style>
  <w:style w:type="character" w:customStyle="1" w:styleId="2Char">
    <w:name w:val="标题 2 Char"/>
    <w:basedOn w:val="a0"/>
    <w:link w:val="2"/>
    <w:uiPriority w:val="1"/>
    <w:rsid w:val="00FC73A9"/>
    <w:rPr>
      <w:rFonts w:ascii="方正仿宋_GBK" w:eastAsia="方正仿宋_GBK" w:hAnsi="方正仿宋_GBK"/>
      <w:sz w:val="32"/>
      <w:szCs w:val="32"/>
    </w:rPr>
  </w:style>
  <w:style w:type="character" w:customStyle="1" w:styleId="Char">
    <w:name w:val="正文文本 Char"/>
    <w:basedOn w:val="a0"/>
    <w:link w:val="a3"/>
    <w:uiPriority w:val="1"/>
    <w:rsid w:val="00FC73A9"/>
    <w:rPr>
      <w:rFonts w:ascii="方正仿宋_GBK" w:eastAsia="方正仿宋_GBK" w:hAnsi="方正仿宋_GBK"/>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396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A0388-15F3-497F-AB7A-A294FB07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665</Words>
  <Characters>3792</Characters>
  <Application>Microsoft Office Word</Application>
  <DocSecurity>0</DocSecurity>
  <Lines>31</Lines>
  <Paragraphs>8</Paragraphs>
  <ScaleCrop>false</ScaleCrop>
  <Company>Organization</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19158</dc:creator>
  <cp:lastModifiedBy>Windows 用户</cp:lastModifiedBy>
  <cp:revision>2</cp:revision>
  <dcterms:created xsi:type="dcterms:W3CDTF">2025-07-25T01:02:00Z</dcterms:created>
  <dcterms:modified xsi:type="dcterms:W3CDTF">2025-07-25T01:02:00Z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LastSaved">
    <vt:filetime>2025-07-24T00:00:00Z</vt:filetime>
  </property>
</Properties>
</file>