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550021">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Times New Roman" w:hAnsi="Times New Roman" w:cs="Times New Roman"/>
          <w:color w:val="auto"/>
          <w:highlight w:val="none"/>
        </w:rPr>
      </w:pPr>
      <w:bookmarkStart w:id="66" w:name="_GoBack"/>
      <w:bookmarkEnd w:id="66"/>
      <w:r>
        <w:rPr>
          <w:rFonts w:hint="default" w:ascii="Times New Roman" w:hAnsi="Times New Roman" w:eastAsia="方正小标宋_GBK" w:cs="Times New Roman"/>
          <w:color w:val="auto"/>
          <w:sz w:val="44"/>
          <w:szCs w:val="44"/>
          <w:highlight w:val="none"/>
        </w:rPr>
        <w:t>重庆市红十字会医院（江北区人民医院）</w:t>
      </w:r>
    </w:p>
    <w:p w14:paraId="12A5EBE4">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小标宋_GBK" w:cs="Times New Roman"/>
          <w:color w:val="auto"/>
          <w:sz w:val="44"/>
          <w:szCs w:val="44"/>
          <w:highlight w:val="none"/>
          <w:lang w:val="en-US" w:eastAsia="zh-CN"/>
        </w:rPr>
        <w:t>医疗设备购置</w:t>
      </w:r>
      <w:r>
        <w:rPr>
          <w:rFonts w:hint="eastAsia" w:eastAsia="方正小标宋_GBK" w:cs="Times New Roman"/>
          <w:color w:val="auto"/>
          <w:sz w:val="44"/>
          <w:szCs w:val="44"/>
          <w:highlight w:val="none"/>
          <w:lang w:val="en-US" w:eastAsia="zh-CN"/>
        </w:rPr>
        <w:t>公开比选</w:t>
      </w:r>
      <w:r>
        <w:rPr>
          <w:rFonts w:hint="default" w:ascii="Times New Roman" w:hAnsi="Times New Roman" w:eastAsia="方正小标宋_GBK" w:cs="Times New Roman"/>
          <w:color w:val="auto"/>
          <w:kern w:val="2"/>
          <w:sz w:val="44"/>
          <w:szCs w:val="44"/>
          <w:highlight w:val="none"/>
          <w:lang w:val="en-US" w:eastAsia="zh-CN" w:bidi="ar-SA"/>
        </w:rPr>
        <w:t>文件</w:t>
      </w:r>
    </w:p>
    <w:p w14:paraId="3D25E671">
      <w:pPr>
        <w:spacing w:line="600" w:lineRule="exact"/>
        <w:outlineLvl w:val="0"/>
        <w:rPr>
          <w:rFonts w:hint="default" w:ascii="Times New Roman" w:hAnsi="Times New Roman" w:eastAsia="黑体" w:cs="Times New Roman"/>
          <w:color w:val="auto"/>
          <w:sz w:val="52"/>
          <w:highlight w:val="none"/>
        </w:rPr>
      </w:pPr>
    </w:p>
    <w:p w14:paraId="71FC7F22">
      <w:pPr>
        <w:spacing w:line="600" w:lineRule="exact"/>
        <w:outlineLvl w:val="0"/>
        <w:rPr>
          <w:rFonts w:hint="default" w:ascii="Times New Roman" w:hAnsi="Times New Roman" w:eastAsia="黑体" w:cs="Times New Roman"/>
          <w:color w:val="auto"/>
          <w:sz w:val="52"/>
          <w:highlight w:val="none"/>
        </w:rPr>
      </w:pPr>
    </w:p>
    <w:p w14:paraId="579C1624">
      <w:pPr>
        <w:spacing w:line="600" w:lineRule="exact"/>
        <w:outlineLvl w:val="0"/>
        <w:rPr>
          <w:rFonts w:hint="default" w:ascii="Times New Roman" w:hAnsi="Times New Roman" w:eastAsia="黑体" w:cs="Times New Roman"/>
          <w:color w:val="auto"/>
          <w:sz w:val="52"/>
          <w:highlight w:val="none"/>
        </w:rPr>
      </w:pPr>
    </w:p>
    <w:p w14:paraId="1B4695BF">
      <w:pPr>
        <w:spacing w:line="600" w:lineRule="exact"/>
        <w:outlineLvl w:val="0"/>
        <w:rPr>
          <w:rFonts w:hint="default" w:ascii="Times New Roman" w:hAnsi="Times New Roman" w:eastAsia="黑体" w:cs="Times New Roman"/>
          <w:color w:val="auto"/>
          <w:sz w:val="52"/>
          <w:highlight w:val="none"/>
        </w:rPr>
      </w:pPr>
    </w:p>
    <w:p w14:paraId="52E9FC26">
      <w:pPr>
        <w:spacing w:line="600" w:lineRule="exact"/>
        <w:outlineLvl w:val="0"/>
        <w:rPr>
          <w:rFonts w:hint="default" w:ascii="Times New Roman" w:hAnsi="Times New Roman" w:eastAsia="黑体" w:cs="Times New Roman"/>
          <w:color w:val="auto"/>
          <w:sz w:val="52"/>
          <w:highlight w:val="none"/>
        </w:rPr>
      </w:pPr>
    </w:p>
    <w:p w14:paraId="6345931F">
      <w:pPr>
        <w:rPr>
          <w:rFonts w:hint="default" w:ascii="Times New Roman" w:hAnsi="Times New Roman" w:cs="Times New Roman"/>
          <w:color w:val="auto"/>
          <w:sz w:val="36"/>
          <w:szCs w:val="36"/>
          <w:highlight w:val="none"/>
        </w:rPr>
      </w:pPr>
    </w:p>
    <w:p w14:paraId="53980157">
      <w:pPr>
        <w:keepNext w:val="0"/>
        <w:keepLines w:val="0"/>
        <w:pageBreakBefore w:val="0"/>
        <w:widowControl w:val="0"/>
        <w:kinsoku/>
        <w:wordWrap/>
        <w:overflowPunct/>
        <w:topLinePunct w:val="0"/>
        <w:autoSpaceDE/>
        <w:autoSpaceDN/>
        <w:bidi w:val="0"/>
        <w:adjustRightInd/>
        <w:spacing w:line="480" w:lineRule="exact"/>
        <w:ind w:firstLine="960" w:firstLineChars="300"/>
        <w:jc w:val="both"/>
        <w:textAlignment w:val="auto"/>
        <w:outlineLvl w:val="0"/>
        <w:rPr>
          <w:rFonts w:hint="eastAsia" w:eastAsia="方正小标宋_GBK" w:cs="Times New Roman"/>
          <w:color w:val="auto"/>
          <w:sz w:val="32"/>
          <w:szCs w:val="32"/>
          <w:highlight w:val="none"/>
          <w:lang w:val="en-US" w:eastAsia="zh-CN"/>
        </w:rPr>
      </w:pPr>
      <w:r>
        <w:rPr>
          <w:rFonts w:hint="default" w:ascii="Times New Roman" w:hAnsi="Times New Roman" w:eastAsia="方正小标宋_GBK" w:cs="Times New Roman"/>
          <w:color w:val="auto"/>
          <w:sz w:val="32"/>
          <w:szCs w:val="32"/>
          <w:highlight w:val="none"/>
        </w:rPr>
        <w:t>采购文件编号</w:t>
      </w:r>
      <w:r>
        <w:rPr>
          <w:rFonts w:hint="default" w:ascii="Times New Roman" w:hAnsi="Times New Roman" w:eastAsia="仿宋" w:cs="Times New Roman"/>
          <w:b/>
          <w:color w:val="auto"/>
          <w:sz w:val="32"/>
          <w:highlight w:val="none"/>
        </w:rPr>
        <w:t>：</w:t>
      </w:r>
      <w:r>
        <w:rPr>
          <w:rFonts w:hint="default" w:eastAsia="方正小标宋_GBK" w:cs="Times New Roman"/>
          <w:color w:val="auto"/>
          <w:sz w:val="32"/>
          <w:szCs w:val="32"/>
          <w:highlight w:val="none"/>
          <w:lang w:val="en-US" w:eastAsia="zh-CN"/>
        </w:rPr>
        <w:t>DME-202</w:t>
      </w:r>
      <w:r>
        <w:rPr>
          <w:rFonts w:hint="eastAsia" w:eastAsia="方正小标宋_GBK" w:cs="Times New Roman"/>
          <w:color w:val="auto"/>
          <w:sz w:val="32"/>
          <w:szCs w:val="32"/>
          <w:highlight w:val="none"/>
          <w:lang w:val="en-US" w:eastAsia="zh-CN"/>
        </w:rPr>
        <w:t>60312</w:t>
      </w:r>
    </w:p>
    <w:p w14:paraId="4B64A7D7">
      <w:pPr>
        <w:keepNext w:val="0"/>
        <w:keepLines w:val="0"/>
        <w:pageBreakBefore w:val="0"/>
        <w:widowControl w:val="0"/>
        <w:kinsoku/>
        <w:wordWrap/>
        <w:overflowPunct/>
        <w:topLinePunct w:val="0"/>
        <w:autoSpaceDE/>
        <w:autoSpaceDN/>
        <w:bidi w:val="0"/>
        <w:adjustRightInd/>
        <w:spacing w:line="480" w:lineRule="exact"/>
        <w:ind w:firstLine="960" w:firstLineChars="300"/>
        <w:jc w:val="both"/>
        <w:textAlignment w:val="auto"/>
        <w:outlineLvl w:val="0"/>
        <w:rPr>
          <w:rFonts w:hint="default" w:ascii="Times New Roman" w:hAnsi="Times New Roman" w:eastAsia="方正小标宋_GBK" w:cs="Times New Roman"/>
          <w:color w:val="auto"/>
          <w:sz w:val="32"/>
          <w:szCs w:val="32"/>
          <w:highlight w:val="none"/>
          <w:lang w:eastAsia="zh-CN"/>
        </w:rPr>
      </w:pPr>
      <w:r>
        <w:rPr>
          <w:rFonts w:hint="default" w:ascii="Times New Roman" w:hAnsi="Times New Roman" w:eastAsia="方正小标宋_GBK" w:cs="Times New Roman"/>
          <w:color w:val="auto"/>
          <w:sz w:val="32"/>
          <w:szCs w:val="32"/>
          <w:highlight w:val="none"/>
        </w:rPr>
        <w:t>项目名称：</w:t>
      </w:r>
      <w:r>
        <w:rPr>
          <w:rFonts w:hint="eastAsia" w:eastAsia="方正小标宋_GBK" w:cs="Times New Roman"/>
          <w:color w:val="auto"/>
          <w:sz w:val="32"/>
          <w:szCs w:val="32"/>
          <w:highlight w:val="none"/>
          <w:lang w:val="en-US" w:eastAsia="zh-CN"/>
        </w:rPr>
        <w:t>血气分析仪设备及配套试剂、耗材采购项目</w:t>
      </w:r>
    </w:p>
    <w:p w14:paraId="4FCE8AC0">
      <w:pPr>
        <w:ind w:firstLine="1920" w:firstLineChars="600"/>
        <w:rPr>
          <w:rFonts w:hint="default" w:ascii="Times New Roman" w:hAnsi="Times New Roman" w:eastAsia="仿宋" w:cs="Times New Roman"/>
          <w:color w:val="auto"/>
          <w:sz w:val="32"/>
          <w:szCs w:val="32"/>
          <w:highlight w:val="none"/>
        </w:rPr>
      </w:pPr>
    </w:p>
    <w:p w14:paraId="239C0D71">
      <w:pPr>
        <w:ind w:firstLine="1920" w:firstLineChars="600"/>
        <w:rPr>
          <w:rFonts w:hint="default" w:ascii="Times New Roman" w:hAnsi="Times New Roman" w:eastAsia="仿宋" w:cs="Times New Roman"/>
          <w:color w:val="auto"/>
          <w:sz w:val="32"/>
          <w:szCs w:val="32"/>
          <w:highlight w:val="none"/>
        </w:rPr>
      </w:pPr>
    </w:p>
    <w:p w14:paraId="5F380A43">
      <w:pPr>
        <w:rPr>
          <w:rFonts w:hint="default" w:ascii="Times New Roman" w:hAnsi="Times New Roman" w:eastAsia="仿宋" w:cs="Times New Roman"/>
          <w:color w:val="auto"/>
          <w:sz w:val="32"/>
          <w:szCs w:val="32"/>
          <w:highlight w:val="none"/>
          <w:lang w:val="en-US"/>
        </w:rPr>
      </w:pPr>
    </w:p>
    <w:p w14:paraId="2AE6EC46">
      <w:pPr>
        <w:ind w:firstLine="1920" w:firstLineChars="600"/>
        <w:rPr>
          <w:rFonts w:hint="default" w:ascii="Times New Roman" w:hAnsi="Times New Roman" w:eastAsia="仿宋" w:cs="Times New Roman"/>
          <w:color w:val="auto"/>
          <w:sz w:val="32"/>
          <w:szCs w:val="32"/>
          <w:highlight w:val="none"/>
        </w:rPr>
      </w:pPr>
    </w:p>
    <w:p w14:paraId="55406CB3">
      <w:pPr>
        <w:ind w:firstLine="1920" w:firstLineChars="600"/>
        <w:rPr>
          <w:rFonts w:hint="default" w:ascii="Times New Roman" w:hAnsi="Times New Roman" w:eastAsia="仿宋" w:cs="Times New Roman"/>
          <w:color w:val="auto"/>
          <w:sz w:val="32"/>
          <w:szCs w:val="32"/>
          <w:highlight w:val="none"/>
        </w:rPr>
      </w:pPr>
    </w:p>
    <w:p w14:paraId="700C235B">
      <w:pPr>
        <w:ind w:firstLine="1920" w:firstLineChars="600"/>
        <w:rPr>
          <w:rFonts w:hint="default" w:ascii="Times New Roman" w:hAnsi="Times New Roman" w:eastAsia="仿宋" w:cs="Times New Roman"/>
          <w:color w:val="auto"/>
          <w:sz w:val="32"/>
          <w:szCs w:val="32"/>
          <w:highlight w:val="none"/>
        </w:rPr>
      </w:pPr>
    </w:p>
    <w:p w14:paraId="0A7393E0">
      <w:pPr>
        <w:ind w:firstLine="1920" w:firstLineChars="600"/>
        <w:rPr>
          <w:rFonts w:hint="default" w:ascii="Times New Roman" w:hAnsi="Times New Roman" w:eastAsia="仿宋" w:cs="Times New Roman"/>
          <w:color w:val="auto"/>
          <w:sz w:val="32"/>
          <w:szCs w:val="32"/>
          <w:highlight w:val="none"/>
        </w:rPr>
      </w:pPr>
    </w:p>
    <w:p w14:paraId="15649F3C">
      <w:pPr>
        <w:rPr>
          <w:rFonts w:hint="default" w:ascii="Times New Roman" w:hAnsi="Times New Roman" w:eastAsia="仿宋" w:cs="Times New Roman"/>
          <w:color w:val="auto"/>
          <w:sz w:val="32"/>
          <w:szCs w:val="32"/>
          <w:highlight w:val="none"/>
        </w:rPr>
      </w:pPr>
    </w:p>
    <w:p w14:paraId="0D2A8350">
      <w:pPr>
        <w:ind w:firstLine="1920" w:firstLineChars="600"/>
        <w:rPr>
          <w:rFonts w:hint="default" w:ascii="Times New Roman" w:hAnsi="Times New Roman" w:eastAsia="仿宋" w:cs="Times New Roman"/>
          <w:color w:val="auto"/>
          <w:sz w:val="32"/>
          <w:szCs w:val="32"/>
          <w:highlight w:val="none"/>
        </w:rPr>
      </w:pPr>
    </w:p>
    <w:p w14:paraId="4BA3A738">
      <w:pPr>
        <w:keepNext w:val="0"/>
        <w:keepLines w:val="0"/>
        <w:pageBreakBefore w:val="0"/>
        <w:widowControl w:val="0"/>
        <w:kinsoku/>
        <w:wordWrap/>
        <w:overflowPunct/>
        <w:topLinePunct w:val="0"/>
        <w:autoSpaceDE/>
        <w:autoSpaceDN/>
        <w:bidi w:val="0"/>
        <w:adjustRightInd/>
        <w:spacing w:line="480" w:lineRule="exact"/>
        <w:ind w:left="0" w:leftChars="0" w:firstLine="0" w:firstLineChars="0"/>
        <w:jc w:val="center"/>
        <w:textAlignment w:val="auto"/>
        <w:outlineLvl w:val="0"/>
        <w:rPr>
          <w:rFonts w:hint="default" w:ascii="Times New Roman" w:hAnsi="Times New Roman" w:eastAsia="方正小标宋_GBK" w:cs="Times New Roman"/>
          <w:b w:val="0"/>
          <w:bCs/>
          <w:color w:val="auto"/>
          <w:sz w:val="32"/>
          <w:szCs w:val="32"/>
          <w:highlight w:val="none"/>
        </w:rPr>
      </w:pPr>
      <w:r>
        <w:rPr>
          <w:rFonts w:hint="default" w:ascii="Times New Roman" w:hAnsi="Times New Roman" w:eastAsia="方正小标宋_GBK" w:cs="Times New Roman"/>
          <w:b w:val="0"/>
          <w:bCs/>
          <w:color w:val="auto"/>
          <w:sz w:val="32"/>
          <w:szCs w:val="32"/>
          <w:highlight w:val="none"/>
        </w:rPr>
        <w:t>采购人：重庆市红十字会医院（江北区人民医院）</w:t>
      </w:r>
    </w:p>
    <w:p w14:paraId="7370472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color w:val="auto"/>
          <w:sz w:val="32"/>
          <w:szCs w:val="32"/>
          <w:highlight w:val="none"/>
        </w:rPr>
        <w:sectPr>
          <w:headerReference r:id="rId3" w:type="default"/>
          <w:footerReference r:id="rId4" w:type="default"/>
          <w:pgSz w:w="11906" w:h="16838"/>
          <w:pgMar w:top="1984" w:right="1446" w:bottom="1644" w:left="1446" w:header="851" w:footer="992" w:gutter="0"/>
          <w:pgNumType w:fmt="decimal"/>
          <w:cols w:space="720" w:num="1"/>
          <w:rtlGutter w:val="0"/>
          <w:docGrid w:type="lines" w:linePitch="312" w:charSpace="0"/>
        </w:sectPr>
      </w:pPr>
      <w:r>
        <w:rPr>
          <w:rFonts w:hint="default" w:ascii="Times New Roman" w:hAnsi="Times New Roman" w:eastAsia="方正小标宋_GBK" w:cs="Times New Roman"/>
          <w:color w:val="auto"/>
          <w:sz w:val="32"/>
          <w:szCs w:val="32"/>
          <w:highlight w:val="none"/>
        </w:rPr>
        <w:t>二〇二</w:t>
      </w:r>
      <w:r>
        <w:rPr>
          <w:rFonts w:hint="eastAsia" w:eastAsia="方正小标宋_GBK" w:cs="Times New Roman"/>
          <w:color w:val="auto"/>
          <w:sz w:val="32"/>
          <w:szCs w:val="32"/>
          <w:highlight w:val="none"/>
          <w:lang w:eastAsia="zh-CN"/>
        </w:rPr>
        <w:t>六</w:t>
      </w:r>
      <w:r>
        <w:rPr>
          <w:rFonts w:hint="default" w:ascii="Times New Roman" w:hAnsi="Times New Roman" w:eastAsia="方正小标宋_GBK" w:cs="Times New Roman"/>
          <w:color w:val="auto"/>
          <w:sz w:val="32"/>
          <w:szCs w:val="32"/>
          <w:highlight w:val="none"/>
        </w:rPr>
        <w:t>年</w:t>
      </w:r>
      <w:r>
        <w:rPr>
          <w:rFonts w:hint="eastAsia" w:eastAsia="方正小标宋_GBK" w:cs="Times New Roman"/>
          <w:color w:val="auto"/>
          <w:sz w:val="32"/>
          <w:szCs w:val="32"/>
          <w:highlight w:val="none"/>
          <w:lang w:eastAsia="zh-CN"/>
        </w:rPr>
        <w:t>三</w:t>
      </w:r>
      <w:r>
        <w:rPr>
          <w:rFonts w:hint="default" w:ascii="Times New Roman" w:hAnsi="Times New Roman" w:eastAsia="方正小标宋_GBK" w:cs="Times New Roman"/>
          <w:color w:val="auto"/>
          <w:sz w:val="32"/>
          <w:szCs w:val="32"/>
          <w:highlight w:val="none"/>
          <w:lang w:eastAsia="zh-CN"/>
        </w:rPr>
        <w:t>月</w:t>
      </w:r>
    </w:p>
    <w:p w14:paraId="7B4132DD">
      <w:pPr>
        <w:pStyle w:val="27"/>
        <w:bidi w:val="0"/>
        <w:rPr>
          <w:rFonts w:hint="eastAsia"/>
          <w:color w:val="auto"/>
          <w:highlight w:val="none"/>
        </w:rPr>
      </w:pPr>
      <w:bookmarkStart w:id="0" w:name="_Toc340223131"/>
      <w:r>
        <w:rPr>
          <w:rFonts w:hint="eastAsia"/>
          <w:color w:val="auto"/>
          <w:highlight w:val="none"/>
          <w:lang w:eastAsia="zh-CN"/>
        </w:rPr>
        <w:t>第一篇</w:t>
      </w:r>
      <w:r>
        <w:rPr>
          <w:rFonts w:hint="eastAsia"/>
          <w:color w:val="auto"/>
          <w:highlight w:val="none"/>
          <w:lang w:val="en-US" w:eastAsia="zh-CN"/>
        </w:rPr>
        <w:t xml:space="preserve"> </w:t>
      </w:r>
      <w:r>
        <w:rPr>
          <w:rFonts w:hint="eastAsia"/>
          <w:color w:val="auto"/>
          <w:highlight w:val="none"/>
          <w:lang w:eastAsia="zh-CN"/>
        </w:rPr>
        <w:t>采购</w:t>
      </w:r>
      <w:r>
        <w:rPr>
          <w:rFonts w:hint="eastAsia"/>
          <w:color w:val="auto"/>
          <w:highlight w:val="none"/>
        </w:rPr>
        <w:t>邀请书</w:t>
      </w:r>
      <w:bookmarkEnd w:id="0"/>
    </w:p>
    <w:p w14:paraId="5630B4E2">
      <w:pPr>
        <w:pStyle w:val="25"/>
        <w:bidi w:val="0"/>
        <w:rPr>
          <w:rFonts w:hint="eastAsia"/>
          <w:color w:val="auto"/>
          <w:highlight w:val="none"/>
        </w:rPr>
      </w:pPr>
      <w:r>
        <w:rPr>
          <w:rFonts w:hint="eastAsia"/>
          <w:color w:val="auto"/>
          <w:highlight w:val="none"/>
        </w:rPr>
        <w:t>重庆市红十字会医院（江北区人民医院）根据临床需要结合相关采购法规，对</w:t>
      </w:r>
      <w:r>
        <w:rPr>
          <w:rFonts w:hint="eastAsia"/>
          <w:color w:val="auto"/>
          <w:highlight w:val="none"/>
          <w:lang w:val="en-US" w:eastAsia="zh-CN"/>
        </w:rPr>
        <w:t>血气分析仪设备及配套试剂、耗材采购项目</w:t>
      </w:r>
      <w:r>
        <w:rPr>
          <w:rFonts w:hint="eastAsia"/>
          <w:color w:val="auto"/>
          <w:highlight w:val="none"/>
        </w:rPr>
        <w:t>进行</w:t>
      </w:r>
      <w:r>
        <w:rPr>
          <w:rFonts w:hint="eastAsia"/>
          <w:color w:val="auto"/>
          <w:highlight w:val="none"/>
          <w:lang w:val="en-US" w:eastAsia="zh-CN"/>
        </w:rPr>
        <w:t>公开比选</w:t>
      </w:r>
      <w:r>
        <w:rPr>
          <w:rFonts w:hint="eastAsia"/>
          <w:color w:val="auto"/>
          <w:highlight w:val="none"/>
        </w:rPr>
        <w:t>，欢迎有资格的供应商参加投标。</w:t>
      </w:r>
    </w:p>
    <w:p w14:paraId="20EC7E44">
      <w:pPr>
        <w:pStyle w:val="26"/>
        <w:keepNext/>
        <w:keepLines/>
        <w:pageBreakBefore w:val="0"/>
        <w:widowControl w:val="0"/>
        <w:numPr>
          <w:ilvl w:val="0"/>
          <w:numId w:val="2"/>
        </w:numPr>
        <w:kinsoku/>
        <w:wordWrap/>
        <w:overflowPunct/>
        <w:topLinePunct w:val="0"/>
        <w:autoSpaceDE/>
        <w:autoSpaceDN/>
        <w:bidi w:val="0"/>
        <w:adjustRightInd w:val="0"/>
        <w:snapToGrid w:val="0"/>
        <w:ind w:left="0" w:leftChars="0" w:firstLine="480" w:firstLineChars="200"/>
        <w:textAlignment w:val="auto"/>
        <w:rPr>
          <w:rFonts w:hint="eastAsia"/>
          <w:color w:val="auto"/>
          <w:highlight w:val="none"/>
          <w:lang w:val="en-US" w:eastAsia="zh-CN"/>
        </w:rPr>
      </w:pPr>
      <w:bookmarkStart w:id="1" w:name="_Toc340223132"/>
      <w:r>
        <w:rPr>
          <w:rFonts w:hint="eastAsia"/>
          <w:color w:val="auto"/>
          <w:highlight w:val="none"/>
          <w:lang w:val="en-US" w:eastAsia="zh-CN"/>
        </w:rPr>
        <w:t>比选项目内容</w:t>
      </w:r>
      <w:bookmarkEnd w:id="1"/>
    </w:p>
    <w:tbl>
      <w:tblPr>
        <w:tblStyle w:val="21"/>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96"/>
        <w:gridCol w:w="2033"/>
        <w:gridCol w:w="2238"/>
        <w:gridCol w:w="1561"/>
      </w:tblGrid>
      <w:tr w14:paraId="4325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1188" w:type="dxa"/>
            <w:tcBorders>
              <w:top w:val="single" w:color="auto" w:sz="4" w:space="0"/>
              <w:left w:val="single" w:color="auto" w:sz="4" w:space="0"/>
              <w:right w:val="single" w:color="auto" w:sz="4" w:space="0"/>
            </w:tcBorders>
            <w:noWrap w:val="0"/>
            <w:vAlign w:val="center"/>
          </w:tcPr>
          <w:p w14:paraId="5E5992B2">
            <w:pPr>
              <w:widowControl/>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分包号</w:t>
            </w:r>
          </w:p>
        </w:tc>
        <w:tc>
          <w:tcPr>
            <w:tcW w:w="2396" w:type="dxa"/>
            <w:tcBorders>
              <w:top w:val="single" w:color="auto" w:sz="4" w:space="0"/>
              <w:left w:val="single" w:color="auto" w:sz="4" w:space="0"/>
              <w:right w:val="single" w:color="auto" w:sz="4" w:space="0"/>
            </w:tcBorders>
            <w:noWrap w:val="0"/>
            <w:vAlign w:val="center"/>
          </w:tcPr>
          <w:p w14:paraId="7D5F4A79">
            <w:pPr>
              <w:widowControl/>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分包名称</w:t>
            </w:r>
          </w:p>
        </w:tc>
        <w:tc>
          <w:tcPr>
            <w:tcW w:w="2033" w:type="dxa"/>
            <w:tcBorders>
              <w:top w:val="single" w:color="auto" w:sz="4" w:space="0"/>
              <w:left w:val="single" w:color="auto" w:sz="4" w:space="0"/>
              <w:right w:val="single" w:color="auto" w:sz="4" w:space="0"/>
            </w:tcBorders>
            <w:noWrap w:val="0"/>
            <w:vAlign w:val="center"/>
          </w:tcPr>
          <w:p w14:paraId="127769A4">
            <w:pPr>
              <w:widowControl/>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采购预算</w:t>
            </w:r>
          </w:p>
          <w:p w14:paraId="7CF4D354">
            <w:pPr>
              <w:widowControl/>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（元）</w:t>
            </w:r>
          </w:p>
        </w:tc>
        <w:tc>
          <w:tcPr>
            <w:tcW w:w="2238" w:type="dxa"/>
            <w:tcBorders>
              <w:top w:val="single" w:color="auto" w:sz="4" w:space="0"/>
              <w:left w:val="single" w:color="auto" w:sz="4" w:space="0"/>
              <w:right w:val="single" w:color="auto" w:sz="4" w:space="0"/>
            </w:tcBorders>
            <w:noWrap w:val="0"/>
            <w:vAlign w:val="center"/>
          </w:tcPr>
          <w:p w14:paraId="43368914">
            <w:pPr>
              <w:widowControl/>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采购方式</w:t>
            </w:r>
          </w:p>
        </w:tc>
        <w:tc>
          <w:tcPr>
            <w:tcW w:w="1561" w:type="dxa"/>
            <w:tcBorders>
              <w:top w:val="single" w:color="auto" w:sz="4" w:space="0"/>
              <w:left w:val="single" w:color="auto" w:sz="4" w:space="0"/>
              <w:right w:val="single" w:color="auto" w:sz="4" w:space="0"/>
            </w:tcBorders>
            <w:noWrap w:val="0"/>
            <w:vAlign w:val="center"/>
          </w:tcPr>
          <w:p w14:paraId="7393C837">
            <w:pPr>
              <w:widowControl/>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备注</w:t>
            </w:r>
          </w:p>
        </w:tc>
      </w:tr>
      <w:tr w14:paraId="608E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88" w:type="dxa"/>
            <w:tcBorders>
              <w:top w:val="single" w:color="auto" w:sz="4" w:space="0"/>
              <w:left w:val="single" w:color="auto" w:sz="4" w:space="0"/>
              <w:right w:val="single" w:color="auto" w:sz="4" w:space="0"/>
            </w:tcBorders>
            <w:noWrap w:val="0"/>
            <w:vAlign w:val="center"/>
          </w:tcPr>
          <w:p w14:paraId="1FEEFBE8">
            <w:pPr>
              <w:widowControl/>
              <w:jc w:val="center"/>
              <w:rPr>
                <w:rFonts w:hint="eastAsia" w:ascii="方正仿宋_GBK" w:hAnsi="方正仿宋_GBK" w:eastAsia="方正仿宋_GBK" w:cs="方正仿宋_GBK"/>
                <w:color w:val="auto"/>
                <w:kern w:val="2"/>
                <w:sz w:val="24"/>
                <w:szCs w:val="24"/>
                <w:highlight w:val="none"/>
                <w:lang w:val="en-US" w:eastAsia="zh-CN" w:bidi="ar-SA"/>
              </w:rPr>
            </w:pPr>
            <w:bookmarkStart w:id="2" w:name="_Hlk344477914"/>
            <w:r>
              <w:rPr>
                <w:rFonts w:hint="eastAsia" w:ascii="方正仿宋_GBK" w:hAnsi="方正仿宋_GBK" w:eastAsia="方正仿宋_GBK" w:cs="方正仿宋_GBK"/>
                <w:color w:val="auto"/>
                <w:kern w:val="2"/>
                <w:sz w:val="24"/>
                <w:szCs w:val="24"/>
                <w:highlight w:val="none"/>
                <w:lang w:val="en-US" w:eastAsia="zh-CN" w:bidi="ar-SA"/>
              </w:rPr>
              <w:t>1</w:t>
            </w:r>
          </w:p>
        </w:tc>
        <w:tc>
          <w:tcPr>
            <w:tcW w:w="2396" w:type="dxa"/>
            <w:tcBorders>
              <w:top w:val="single" w:color="auto" w:sz="4" w:space="0"/>
              <w:left w:val="single" w:color="auto" w:sz="4" w:space="0"/>
              <w:right w:val="single" w:color="auto" w:sz="4" w:space="0"/>
            </w:tcBorders>
            <w:noWrap w:val="0"/>
            <w:vAlign w:val="center"/>
          </w:tcPr>
          <w:p w14:paraId="2CFD0EB3">
            <w:pPr>
              <w:widowControl/>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血气分析仪设备及配套试剂、耗材</w:t>
            </w:r>
          </w:p>
        </w:tc>
        <w:tc>
          <w:tcPr>
            <w:tcW w:w="2033" w:type="dxa"/>
            <w:tcBorders>
              <w:top w:val="single" w:color="auto" w:sz="4" w:space="0"/>
              <w:left w:val="single" w:color="auto" w:sz="4" w:space="0"/>
              <w:right w:val="single" w:color="auto" w:sz="4" w:space="0"/>
            </w:tcBorders>
            <w:noWrap w:val="0"/>
            <w:vAlign w:val="center"/>
          </w:tcPr>
          <w:p w14:paraId="0D3ADE90">
            <w:pPr>
              <w:widowControl/>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见第二篇  招标项目一览表</w:t>
            </w:r>
          </w:p>
        </w:tc>
        <w:tc>
          <w:tcPr>
            <w:tcW w:w="2238" w:type="dxa"/>
            <w:tcBorders>
              <w:top w:val="single" w:color="auto" w:sz="4" w:space="0"/>
              <w:left w:val="single" w:color="auto" w:sz="4" w:space="0"/>
              <w:right w:val="single" w:color="auto" w:sz="4" w:space="0"/>
            </w:tcBorders>
            <w:noWrap w:val="0"/>
            <w:vAlign w:val="center"/>
          </w:tcPr>
          <w:p w14:paraId="79DA7924">
            <w:pPr>
              <w:widowControl/>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公开</w:t>
            </w:r>
            <w:r>
              <w:rPr>
                <w:rFonts w:hint="default" w:ascii="方正仿宋_GBK" w:hAnsi="方正仿宋_GBK" w:eastAsia="方正仿宋_GBK" w:cs="方正仿宋_GBK"/>
                <w:color w:val="auto"/>
                <w:kern w:val="2"/>
                <w:sz w:val="24"/>
                <w:szCs w:val="24"/>
                <w:highlight w:val="none"/>
                <w:lang w:val="en-US" w:eastAsia="zh-CN" w:bidi="ar-SA"/>
              </w:rPr>
              <w:t>比选</w:t>
            </w:r>
          </w:p>
        </w:tc>
        <w:tc>
          <w:tcPr>
            <w:tcW w:w="1561" w:type="dxa"/>
            <w:tcBorders>
              <w:top w:val="single" w:color="auto" w:sz="4" w:space="0"/>
              <w:left w:val="single" w:color="auto" w:sz="4" w:space="0"/>
              <w:right w:val="single" w:color="auto" w:sz="4" w:space="0"/>
            </w:tcBorders>
            <w:noWrap w:val="0"/>
            <w:vAlign w:val="center"/>
          </w:tcPr>
          <w:p w14:paraId="58708ED1">
            <w:pPr>
              <w:widowControl/>
              <w:jc w:val="center"/>
              <w:rPr>
                <w:rFonts w:hint="eastAsia" w:ascii="方正仿宋_GBK" w:hAnsi="方正仿宋_GBK" w:eastAsia="方正仿宋_GBK" w:cs="方正仿宋_GBK"/>
                <w:color w:val="auto"/>
                <w:kern w:val="2"/>
                <w:sz w:val="24"/>
                <w:szCs w:val="24"/>
                <w:highlight w:val="none"/>
                <w:lang w:val="en-US" w:eastAsia="zh-CN" w:bidi="ar-SA"/>
              </w:rPr>
            </w:pPr>
          </w:p>
        </w:tc>
      </w:tr>
      <w:bookmarkEnd w:id="2"/>
    </w:tbl>
    <w:p w14:paraId="16E80717">
      <w:pPr>
        <w:pStyle w:val="26"/>
        <w:numPr>
          <w:ilvl w:val="0"/>
          <w:numId w:val="2"/>
        </w:numPr>
        <w:bidi w:val="0"/>
        <w:ind w:left="0" w:leftChars="0" w:firstLine="480" w:firstLineChars="200"/>
        <w:rPr>
          <w:rFonts w:hint="eastAsia"/>
          <w:color w:val="auto"/>
          <w:highlight w:val="none"/>
          <w:lang w:val="en-US" w:eastAsia="zh-CN"/>
        </w:rPr>
      </w:pPr>
      <w:r>
        <w:rPr>
          <w:rFonts w:hint="eastAsia"/>
          <w:color w:val="auto"/>
          <w:highlight w:val="none"/>
          <w:lang w:val="en-US" w:eastAsia="zh-CN"/>
        </w:rPr>
        <w:t>资金来源</w:t>
      </w:r>
    </w:p>
    <w:p w14:paraId="72CAA7BD">
      <w:pPr>
        <w:pStyle w:val="25"/>
        <w:bidi w:val="0"/>
        <w:rPr>
          <w:rFonts w:hint="eastAsia"/>
          <w:color w:val="auto"/>
          <w:highlight w:val="none"/>
          <w:lang w:val="en-US" w:eastAsia="zh-CN"/>
        </w:rPr>
      </w:pPr>
      <w:r>
        <w:rPr>
          <w:rFonts w:hint="default"/>
          <w:color w:val="auto"/>
          <w:highlight w:val="none"/>
          <w:lang w:val="en-US" w:eastAsia="zh-CN"/>
        </w:rPr>
        <w:t>单位自筹资金</w:t>
      </w:r>
    </w:p>
    <w:p w14:paraId="2F81FF75">
      <w:pPr>
        <w:pStyle w:val="26"/>
        <w:keepNext/>
        <w:keepLines/>
        <w:pageBreakBefore w:val="0"/>
        <w:widowControl w:val="0"/>
        <w:numPr>
          <w:ilvl w:val="0"/>
          <w:numId w:val="2"/>
        </w:numPr>
        <w:kinsoku/>
        <w:wordWrap/>
        <w:overflowPunct/>
        <w:topLinePunct w:val="0"/>
        <w:autoSpaceDE/>
        <w:autoSpaceDN/>
        <w:bidi w:val="0"/>
        <w:adjustRightInd w:val="0"/>
        <w:snapToGrid w:val="0"/>
        <w:ind w:left="0" w:leftChars="0" w:firstLine="480" w:firstLineChars="200"/>
        <w:textAlignment w:val="auto"/>
        <w:rPr>
          <w:rFonts w:hint="default"/>
          <w:color w:val="auto"/>
          <w:highlight w:val="none"/>
          <w:lang w:val="en-US" w:eastAsia="zh-CN"/>
        </w:rPr>
      </w:pPr>
      <w:bookmarkStart w:id="3" w:name="_Toc340223134"/>
      <w:r>
        <w:rPr>
          <w:rFonts w:hint="eastAsia"/>
          <w:color w:val="auto"/>
          <w:highlight w:val="none"/>
          <w:lang w:val="en-US" w:eastAsia="zh-CN"/>
        </w:rPr>
        <w:t>供应商</w:t>
      </w:r>
      <w:r>
        <w:rPr>
          <w:rFonts w:hint="default"/>
          <w:color w:val="auto"/>
          <w:highlight w:val="none"/>
          <w:lang w:val="en-US" w:eastAsia="zh-CN"/>
        </w:rPr>
        <w:t>资格要求</w:t>
      </w:r>
      <w:bookmarkEnd w:id="3"/>
    </w:p>
    <w:p w14:paraId="47498764">
      <w:pPr>
        <w:pStyle w:val="25"/>
        <w:bidi w:val="0"/>
        <w:rPr>
          <w:rFonts w:hint="default"/>
          <w:color w:val="auto"/>
          <w:highlight w:val="none"/>
          <w:lang w:val="en-US" w:eastAsia="zh-CN"/>
        </w:rPr>
      </w:pPr>
      <w:r>
        <w:rPr>
          <w:rFonts w:hint="default"/>
          <w:color w:val="auto"/>
          <w:highlight w:val="none"/>
          <w:lang w:val="en-US" w:eastAsia="zh-CN"/>
        </w:rPr>
        <w:t>合格</w:t>
      </w:r>
      <w:r>
        <w:rPr>
          <w:rFonts w:hint="eastAsia"/>
          <w:color w:val="auto"/>
          <w:highlight w:val="none"/>
          <w:lang w:val="en-US" w:eastAsia="zh-CN"/>
        </w:rPr>
        <w:t>供应商</w:t>
      </w:r>
      <w:r>
        <w:rPr>
          <w:rFonts w:hint="default"/>
          <w:color w:val="auto"/>
          <w:highlight w:val="none"/>
          <w:lang w:val="en-US" w:eastAsia="zh-CN"/>
        </w:rPr>
        <w:t>应首先符合政府采购法第二十二条规定的基本条件，同时符合根据该项目特点设置的特定资格条件。</w:t>
      </w:r>
    </w:p>
    <w:p w14:paraId="755BD6DD">
      <w:pPr>
        <w:pStyle w:val="25"/>
        <w:bidi w:val="0"/>
        <w:rPr>
          <w:rFonts w:hint="default"/>
          <w:b/>
          <w:bCs/>
          <w:color w:val="auto"/>
          <w:highlight w:val="none"/>
        </w:rPr>
      </w:pPr>
      <w:r>
        <w:rPr>
          <w:rFonts w:hint="default"/>
          <w:b/>
          <w:bCs/>
          <w:color w:val="auto"/>
          <w:highlight w:val="none"/>
        </w:rPr>
        <w:t>（一）基本资格条件</w:t>
      </w:r>
    </w:p>
    <w:p w14:paraId="5C5B4B1B">
      <w:pPr>
        <w:pStyle w:val="25"/>
        <w:bidi w:val="0"/>
        <w:rPr>
          <w:rFonts w:hint="default"/>
          <w:color w:val="auto"/>
          <w:highlight w:val="none"/>
          <w:lang w:val="en-US" w:eastAsia="zh-CN"/>
        </w:rPr>
      </w:pPr>
      <w:r>
        <w:rPr>
          <w:rFonts w:hint="default"/>
          <w:color w:val="auto"/>
          <w:highlight w:val="none"/>
          <w:lang w:val="en-US" w:eastAsia="zh-CN"/>
        </w:rPr>
        <w:t>1.具有独立承担民事责任的能力；</w:t>
      </w:r>
    </w:p>
    <w:p w14:paraId="5601D067">
      <w:pPr>
        <w:pStyle w:val="25"/>
        <w:bidi w:val="0"/>
        <w:rPr>
          <w:rFonts w:hint="default"/>
          <w:color w:val="auto"/>
          <w:highlight w:val="none"/>
          <w:lang w:val="en-US" w:eastAsia="zh-CN"/>
        </w:rPr>
      </w:pPr>
      <w:r>
        <w:rPr>
          <w:rFonts w:hint="default"/>
          <w:color w:val="auto"/>
          <w:highlight w:val="none"/>
          <w:lang w:val="en-US" w:eastAsia="zh-CN"/>
        </w:rPr>
        <w:t>2.具有良好的商业信誉和健全的财务会计制度；</w:t>
      </w:r>
    </w:p>
    <w:p w14:paraId="362B57CC">
      <w:pPr>
        <w:pStyle w:val="25"/>
        <w:bidi w:val="0"/>
        <w:rPr>
          <w:rFonts w:hint="default"/>
          <w:color w:val="auto"/>
          <w:highlight w:val="none"/>
          <w:lang w:val="en-US" w:eastAsia="zh-CN"/>
        </w:rPr>
      </w:pPr>
      <w:r>
        <w:rPr>
          <w:rFonts w:hint="default"/>
          <w:color w:val="auto"/>
          <w:highlight w:val="none"/>
          <w:lang w:val="en-US" w:eastAsia="zh-CN"/>
        </w:rPr>
        <w:t>3.具有履行合同所必需的设备和专业技术能力；</w:t>
      </w:r>
    </w:p>
    <w:p w14:paraId="40B089FE">
      <w:pPr>
        <w:pStyle w:val="25"/>
        <w:bidi w:val="0"/>
        <w:rPr>
          <w:rFonts w:hint="default"/>
          <w:color w:val="auto"/>
          <w:highlight w:val="none"/>
          <w:lang w:val="en-US" w:eastAsia="zh-CN"/>
        </w:rPr>
      </w:pPr>
      <w:r>
        <w:rPr>
          <w:rFonts w:hint="default"/>
          <w:color w:val="auto"/>
          <w:highlight w:val="none"/>
          <w:lang w:val="en-US" w:eastAsia="zh-CN"/>
        </w:rPr>
        <w:t>4.有依法缴纳税收和社会保障资金的良好记录；</w:t>
      </w:r>
    </w:p>
    <w:p w14:paraId="26C0D9E7">
      <w:pPr>
        <w:pStyle w:val="25"/>
        <w:bidi w:val="0"/>
        <w:rPr>
          <w:rFonts w:hint="default"/>
          <w:color w:val="auto"/>
          <w:highlight w:val="none"/>
          <w:lang w:val="en-US" w:eastAsia="zh-CN"/>
        </w:rPr>
      </w:pPr>
      <w:r>
        <w:rPr>
          <w:rFonts w:hint="default"/>
          <w:color w:val="auto"/>
          <w:highlight w:val="none"/>
          <w:lang w:val="en-US" w:eastAsia="zh-CN"/>
        </w:rPr>
        <w:t>5.参加政府采购活动前三年内，在经营活动中没有重大违法记录；</w:t>
      </w:r>
    </w:p>
    <w:p w14:paraId="07870D65">
      <w:pPr>
        <w:pStyle w:val="25"/>
        <w:bidi w:val="0"/>
        <w:rPr>
          <w:rFonts w:hint="default"/>
          <w:color w:val="auto"/>
          <w:highlight w:val="none"/>
          <w:lang w:val="en-US" w:eastAsia="zh-CN"/>
        </w:rPr>
      </w:pPr>
      <w:r>
        <w:rPr>
          <w:rFonts w:hint="default"/>
          <w:color w:val="auto"/>
          <w:highlight w:val="none"/>
          <w:lang w:val="en-US" w:eastAsia="zh-CN"/>
        </w:rPr>
        <w:t>6.法律、行政法规规定的其他条件。</w:t>
      </w:r>
    </w:p>
    <w:p w14:paraId="74D47575">
      <w:pPr>
        <w:pStyle w:val="25"/>
        <w:bidi w:val="0"/>
        <w:rPr>
          <w:rFonts w:hint="default"/>
          <w:b/>
          <w:bCs/>
          <w:color w:val="auto"/>
          <w:highlight w:val="none"/>
        </w:rPr>
      </w:pPr>
      <w:r>
        <w:rPr>
          <w:rFonts w:hint="default"/>
          <w:b/>
          <w:bCs/>
          <w:color w:val="auto"/>
          <w:highlight w:val="none"/>
        </w:rPr>
        <w:t>（二）特定资格条件</w:t>
      </w:r>
    </w:p>
    <w:p w14:paraId="0E265EC7">
      <w:pPr>
        <w:pStyle w:val="25"/>
        <w:bidi w:val="0"/>
        <w:rPr>
          <w:rFonts w:hint="default"/>
          <w:color w:val="auto"/>
          <w:highlight w:val="none"/>
          <w:lang w:val="en-US" w:eastAsia="zh-CN"/>
        </w:rPr>
      </w:pPr>
      <w:r>
        <w:rPr>
          <w:rFonts w:hint="default"/>
          <w:color w:val="auto"/>
          <w:highlight w:val="none"/>
          <w:lang w:val="en-US" w:eastAsia="zh-CN"/>
        </w:rPr>
        <w:t>1.供应商若为所投货物的生产制造商，提供有效期内的《医疗器械生产许可证》复印件（加盖供应商公章）。</w:t>
      </w:r>
    </w:p>
    <w:p w14:paraId="412A3F05">
      <w:pPr>
        <w:pStyle w:val="25"/>
        <w:bidi w:val="0"/>
        <w:rPr>
          <w:rFonts w:hint="default"/>
          <w:color w:val="auto"/>
          <w:highlight w:val="none"/>
          <w:lang w:val="en-US" w:eastAsia="zh-CN"/>
        </w:rPr>
      </w:pPr>
      <w:r>
        <w:rPr>
          <w:rFonts w:hint="default"/>
          <w:color w:val="auto"/>
          <w:highlight w:val="none"/>
          <w:lang w:val="en-US" w:eastAsia="zh-CN"/>
        </w:rPr>
        <w:t>2.供应商若为所投货物的经销商，提供有效期内的《医疗器械经营许可证》复印件（加盖供应商公章）。</w:t>
      </w:r>
    </w:p>
    <w:p w14:paraId="4B3B45E0">
      <w:pPr>
        <w:pStyle w:val="25"/>
        <w:bidi w:val="0"/>
        <w:rPr>
          <w:rFonts w:hint="default"/>
          <w:color w:val="auto"/>
          <w:highlight w:val="none"/>
          <w:lang w:val="en-US" w:eastAsia="zh-CN"/>
        </w:rPr>
      </w:pPr>
      <w:r>
        <w:rPr>
          <w:rFonts w:hint="default"/>
          <w:color w:val="auto"/>
          <w:highlight w:val="none"/>
          <w:lang w:val="en-US" w:eastAsia="zh-CN"/>
        </w:rPr>
        <w:t>3.产品提供有效期内的《中华人民共和国医疗器械注册证》（适用所投货物为第二、三类医疗器械）复印件（加盖供应商公章）。</w:t>
      </w:r>
    </w:p>
    <w:p w14:paraId="2324CCBF">
      <w:pPr>
        <w:pStyle w:val="26"/>
        <w:numPr>
          <w:ilvl w:val="0"/>
          <w:numId w:val="2"/>
        </w:numPr>
        <w:bidi w:val="0"/>
        <w:ind w:left="0" w:leftChars="0" w:firstLine="480" w:firstLineChars="200"/>
        <w:rPr>
          <w:rFonts w:hint="default"/>
          <w:color w:val="auto"/>
          <w:highlight w:val="none"/>
          <w:lang w:val="en-US" w:eastAsia="zh-CN"/>
        </w:rPr>
      </w:pPr>
      <w:bookmarkStart w:id="4" w:name="_Toc340223135"/>
      <w:r>
        <w:rPr>
          <w:rFonts w:hint="eastAsia"/>
          <w:color w:val="auto"/>
          <w:highlight w:val="none"/>
          <w:lang w:val="en-US" w:eastAsia="zh-CN"/>
        </w:rPr>
        <w:t>比选</w:t>
      </w:r>
      <w:r>
        <w:rPr>
          <w:rFonts w:hint="default"/>
          <w:color w:val="auto"/>
          <w:highlight w:val="none"/>
          <w:lang w:val="en-US" w:eastAsia="zh-CN"/>
        </w:rPr>
        <w:t>有关说明</w:t>
      </w:r>
      <w:bookmarkEnd w:id="4"/>
    </w:p>
    <w:p w14:paraId="20D5BCB2">
      <w:pPr>
        <w:pStyle w:val="25"/>
        <w:bidi w:val="0"/>
        <w:rPr>
          <w:rFonts w:hint="eastAsia"/>
          <w:color w:val="auto"/>
          <w:highlight w:val="none"/>
          <w:lang w:val="en-US" w:eastAsia="zh-CN"/>
        </w:rPr>
      </w:pPr>
      <w:bookmarkStart w:id="5" w:name="_Toc340223137"/>
      <w:r>
        <w:rPr>
          <w:rFonts w:hint="default"/>
          <w:color w:val="auto"/>
          <w:highlight w:val="none"/>
          <w:lang w:val="en-US" w:eastAsia="zh-CN"/>
        </w:rPr>
        <w:t>（一）采购文件的获取：凡有意参加询价的供应商，请在重庆市红十字会医院（江北区人民医院）官网（https://www.cqshszhyy.cn/）下载采购文件</w:t>
      </w:r>
      <w:r>
        <w:rPr>
          <w:rFonts w:hint="eastAsia"/>
          <w:color w:val="auto"/>
          <w:highlight w:val="none"/>
          <w:lang w:val="en-US" w:eastAsia="zh-CN"/>
        </w:rPr>
        <w:t>、</w:t>
      </w:r>
      <w:r>
        <w:rPr>
          <w:rFonts w:hint="default"/>
          <w:color w:val="auto"/>
          <w:highlight w:val="none"/>
          <w:lang w:val="en-US" w:eastAsia="zh-CN"/>
        </w:rPr>
        <w:t>澄清等报价前公布的所有项目资料</w:t>
      </w:r>
      <w:r>
        <w:rPr>
          <w:rFonts w:hint="eastAsia"/>
          <w:color w:val="auto"/>
          <w:highlight w:val="none"/>
          <w:lang w:val="en-US" w:eastAsia="zh-CN"/>
        </w:rPr>
        <w:t>，无论供应商下载或领取与否，均视为已知晓所有实质性要求内容。</w:t>
      </w:r>
    </w:p>
    <w:p w14:paraId="3FD907AC">
      <w:pPr>
        <w:pStyle w:val="25"/>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二</w:t>
      </w:r>
      <w:r>
        <w:rPr>
          <w:rFonts w:hint="default"/>
          <w:color w:val="auto"/>
          <w:highlight w:val="none"/>
          <w:lang w:val="en-US" w:eastAsia="zh-CN"/>
        </w:rPr>
        <w:t>）采购文件公告期限：自采购公告发布之日起三个工作日。</w:t>
      </w:r>
    </w:p>
    <w:p w14:paraId="19681CC0">
      <w:pPr>
        <w:pStyle w:val="25"/>
        <w:bidi w:val="0"/>
        <w:rPr>
          <w:rFonts w:hint="eastAsia"/>
          <w:color w:val="auto"/>
          <w:highlight w:val="none"/>
          <w:lang w:val="en-US" w:eastAsia="zh-CN"/>
        </w:rPr>
      </w:pPr>
      <w:r>
        <w:rPr>
          <w:rFonts w:hint="eastAsia"/>
          <w:color w:val="auto"/>
          <w:highlight w:val="none"/>
          <w:lang w:val="en-US" w:eastAsia="zh-CN"/>
        </w:rPr>
        <w:t>（三）采购文件提供期限及售价：</w:t>
      </w:r>
    </w:p>
    <w:p w14:paraId="0795ED90">
      <w:pPr>
        <w:pStyle w:val="25"/>
        <w:bidi w:val="0"/>
        <w:rPr>
          <w:rFonts w:hint="eastAsia"/>
          <w:color w:val="auto"/>
          <w:highlight w:val="none"/>
          <w:lang w:val="en-US" w:eastAsia="zh-CN"/>
        </w:rPr>
      </w:pPr>
      <w:r>
        <w:rPr>
          <w:rFonts w:hint="eastAsia"/>
          <w:color w:val="auto"/>
          <w:highlight w:val="none"/>
          <w:lang w:val="en-US" w:eastAsia="zh-CN"/>
        </w:rPr>
        <w:t>1.采购文件提供期限：同采购文件公告期限。</w:t>
      </w:r>
    </w:p>
    <w:p w14:paraId="3B31D471">
      <w:pPr>
        <w:pStyle w:val="25"/>
        <w:bidi w:val="0"/>
        <w:rPr>
          <w:rFonts w:hint="eastAsia"/>
          <w:color w:val="auto"/>
          <w:highlight w:val="none"/>
          <w:lang w:val="en-US" w:eastAsia="zh-CN"/>
        </w:rPr>
      </w:pPr>
      <w:r>
        <w:rPr>
          <w:rFonts w:hint="eastAsia"/>
          <w:color w:val="auto"/>
          <w:highlight w:val="none"/>
          <w:lang w:val="en-US" w:eastAsia="zh-CN"/>
        </w:rPr>
        <w:t>2.采购文件售价：人民币0.00元/包。</w:t>
      </w:r>
    </w:p>
    <w:p w14:paraId="5131B9DB">
      <w:pPr>
        <w:pStyle w:val="25"/>
        <w:bidi w:val="0"/>
        <w:rPr>
          <w:rFonts w:hint="eastAsia"/>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四</w:t>
      </w:r>
      <w:r>
        <w:rPr>
          <w:rFonts w:hint="default"/>
          <w:color w:val="auto"/>
          <w:highlight w:val="none"/>
          <w:lang w:val="en-US" w:eastAsia="zh-CN"/>
        </w:rPr>
        <w:t>）</w:t>
      </w:r>
      <w:r>
        <w:rPr>
          <w:rFonts w:hint="eastAsia"/>
          <w:color w:val="auto"/>
          <w:highlight w:val="none"/>
          <w:lang w:val="en-US" w:eastAsia="zh-CN"/>
        </w:rPr>
        <w:t>递交响应文件地点：</w:t>
      </w:r>
      <w:r>
        <w:rPr>
          <w:rFonts w:hint="default"/>
          <w:color w:val="auto"/>
          <w:highlight w:val="none"/>
          <w:lang w:val="en-US" w:eastAsia="zh-CN"/>
        </w:rPr>
        <w:t>重庆市红十字会医院（江北区人民医院）2号楼1层眼科会议室</w:t>
      </w:r>
      <w:r>
        <w:rPr>
          <w:rFonts w:hint="eastAsia"/>
          <w:color w:val="auto"/>
          <w:highlight w:val="none"/>
          <w:lang w:val="en-US" w:eastAsia="zh-CN"/>
        </w:rPr>
        <w:t>。</w:t>
      </w:r>
    </w:p>
    <w:p w14:paraId="4693C25A">
      <w:pPr>
        <w:pStyle w:val="25"/>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五</w:t>
      </w:r>
      <w:r>
        <w:rPr>
          <w:rFonts w:hint="default"/>
          <w:color w:val="auto"/>
          <w:highlight w:val="none"/>
          <w:lang w:val="en-US" w:eastAsia="zh-CN"/>
        </w:rPr>
        <w:t>）</w:t>
      </w:r>
      <w:r>
        <w:rPr>
          <w:rFonts w:hint="eastAsia"/>
          <w:color w:val="auto"/>
          <w:highlight w:val="none"/>
          <w:lang w:val="en-US" w:eastAsia="zh-CN"/>
        </w:rPr>
        <w:t>递交</w:t>
      </w:r>
      <w:r>
        <w:rPr>
          <w:rFonts w:hint="default"/>
          <w:color w:val="auto"/>
          <w:highlight w:val="none"/>
          <w:lang w:val="en-US" w:eastAsia="zh-CN"/>
        </w:rPr>
        <w:t>响应文件开始及截止时间：202</w:t>
      </w:r>
      <w:r>
        <w:rPr>
          <w:rFonts w:hint="eastAsia"/>
          <w:color w:val="auto"/>
          <w:highlight w:val="none"/>
          <w:lang w:val="en-US" w:eastAsia="zh-CN"/>
        </w:rPr>
        <w:t>6</w:t>
      </w:r>
      <w:r>
        <w:rPr>
          <w:rFonts w:hint="default"/>
          <w:color w:val="auto"/>
          <w:highlight w:val="none"/>
          <w:lang w:val="en-US" w:eastAsia="zh-CN"/>
        </w:rPr>
        <w:t>年</w:t>
      </w:r>
      <w:r>
        <w:rPr>
          <w:rFonts w:hint="eastAsia"/>
          <w:color w:val="auto"/>
          <w:highlight w:val="none"/>
          <w:lang w:val="en-US" w:eastAsia="zh-CN"/>
        </w:rPr>
        <w:t>3</w:t>
      </w:r>
      <w:r>
        <w:rPr>
          <w:rFonts w:hint="default"/>
          <w:color w:val="auto"/>
          <w:highlight w:val="none"/>
          <w:lang w:val="en-US" w:eastAsia="zh-CN"/>
        </w:rPr>
        <w:t>月</w:t>
      </w:r>
      <w:r>
        <w:rPr>
          <w:rFonts w:hint="eastAsia"/>
          <w:color w:val="auto"/>
          <w:highlight w:val="none"/>
          <w:lang w:val="en-US" w:eastAsia="zh-CN"/>
        </w:rPr>
        <w:t>12</w:t>
      </w:r>
      <w:r>
        <w:rPr>
          <w:rFonts w:hint="default"/>
          <w:color w:val="auto"/>
          <w:highlight w:val="none"/>
          <w:lang w:val="en-US" w:eastAsia="zh-CN"/>
        </w:rPr>
        <w:t>日 北京时间</w:t>
      </w:r>
      <w:r>
        <w:rPr>
          <w:rFonts w:hint="eastAsia"/>
          <w:color w:val="auto"/>
          <w:highlight w:val="none"/>
          <w:lang w:val="en-US" w:eastAsia="zh-CN"/>
        </w:rPr>
        <w:t>9</w:t>
      </w:r>
      <w:r>
        <w:rPr>
          <w:rFonts w:hint="default"/>
          <w:color w:val="auto"/>
          <w:highlight w:val="none"/>
          <w:lang w:val="en-US" w:eastAsia="zh-CN"/>
        </w:rPr>
        <w:t>:</w:t>
      </w:r>
      <w:r>
        <w:rPr>
          <w:rFonts w:hint="eastAsia"/>
          <w:color w:val="auto"/>
          <w:highlight w:val="none"/>
          <w:lang w:val="en-US" w:eastAsia="zh-CN"/>
        </w:rPr>
        <w:t>1</w:t>
      </w:r>
      <w:r>
        <w:rPr>
          <w:rFonts w:hint="default"/>
          <w:color w:val="auto"/>
          <w:highlight w:val="none"/>
          <w:lang w:val="en-US" w:eastAsia="zh-CN"/>
        </w:rPr>
        <w:t>0-</w:t>
      </w:r>
      <w:r>
        <w:rPr>
          <w:rFonts w:hint="eastAsia"/>
          <w:color w:val="auto"/>
          <w:highlight w:val="none"/>
          <w:lang w:val="en-US" w:eastAsia="zh-CN"/>
        </w:rPr>
        <w:t>9</w:t>
      </w:r>
      <w:r>
        <w:rPr>
          <w:rFonts w:hint="default"/>
          <w:color w:val="auto"/>
          <w:highlight w:val="none"/>
          <w:lang w:val="en-US" w:eastAsia="zh-CN"/>
        </w:rPr>
        <w:t>:30（其他时间不接受任何形式的送达）。</w:t>
      </w:r>
    </w:p>
    <w:p w14:paraId="4BA70F7E">
      <w:pPr>
        <w:pStyle w:val="25"/>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六</w:t>
      </w:r>
      <w:r>
        <w:rPr>
          <w:rFonts w:hint="default"/>
          <w:color w:val="auto"/>
          <w:highlight w:val="none"/>
          <w:lang w:val="en-US" w:eastAsia="zh-CN"/>
        </w:rPr>
        <w:t>）</w:t>
      </w:r>
      <w:r>
        <w:rPr>
          <w:rFonts w:hint="eastAsia"/>
          <w:color w:val="auto"/>
          <w:highlight w:val="none"/>
          <w:lang w:val="en-US" w:eastAsia="zh-CN"/>
        </w:rPr>
        <w:t>评审</w:t>
      </w:r>
      <w:r>
        <w:rPr>
          <w:rFonts w:hint="default"/>
          <w:color w:val="auto"/>
          <w:highlight w:val="none"/>
          <w:lang w:val="en-US" w:eastAsia="zh-CN"/>
        </w:rPr>
        <w:t>时间：202</w:t>
      </w:r>
      <w:r>
        <w:rPr>
          <w:rFonts w:hint="eastAsia"/>
          <w:color w:val="auto"/>
          <w:highlight w:val="none"/>
          <w:lang w:val="en-US" w:eastAsia="zh-CN"/>
        </w:rPr>
        <w:t>6</w:t>
      </w:r>
      <w:r>
        <w:rPr>
          <w:rFonts w:hint="default"/>
          <w:color w:val="auto"/>
          <w:highlight w:val="none"/>
          <w:lang w:val="en-US" w:eastAsia="zh-CN"/>
        </w:rPr>
        <w:t>年</w:t>
      </w:r>
      <w:r>
        <w:rPr>
          <w:rFonts w:hint="eastAsia"/>
          <w:color w:val="auto"/>
          <w:highlight w:val="none"/>
          <w:lang w:val="en-US" w:eastAsia="zh-CN"/>
        </w:rPr>
        <w:t>3</w:t>
      </w:r>
      <w:r>
        <w:rPr>
          <w:rFonts w:hint="default"/>
          <w:color w:val="auto"/>
          <w:highlight w:val="none"/>
          <w:lang w:val="en-US" w:eastAsia="zh-CN"/>
        </w:rPr>
        <w:t>月</w:t>
      </w:r>
      <w:r>
        <w:rPr>
          <w:rFonts w:hint="eastAsia"/>
          <w:color w:val="auto"/>
          <w:highlight w:val="none"/>
          <w:lang w:val="en-US" w:eastAsia="zh-CN"/>
        </w:rPr>
        <w:t>12</w:t>
      </w:r>
      <w:r>
        <w:rPr>
          <w:rFonts w:hint="default"/>
          <w:color w:val="auto"/>
          <w:highlight w:val="none"/>
          <w:lang w:val="en-US" w:eastAsia="zh-CN"/>
        </w:rPr>
        <w:t>日北京时间</w:t>
      </w:r>
      <w:r>
        <w:rPr>
          <w:rFonts w:hint="eastAsia"/>
          <w:color w:val="auto"/>
          <w:highlight w:val="none"/>
          <w:lang w:val="en-US" w:eastAsia="zh-CN"/>
        </w:rPr>
        <w:t>9</w:t>
      </w:r>
      <w:r>
        <w:rPr>
          <w:rFonts w:hint="default"/>
          <w:color w:val="auto"/>
          <w:highlight w:val="none"/>
          <w:lang w:val="en-US" w:eastAsia="zh-CN"/>
        </w:rPr>
        <w:t>:30，迟到者视为自动放弃投标。</w:t>
      </w:r>
    </w:p>
    <w:p w14:paraId="28ACF761">
      <w:pPr>
        <w:pStyle w:val="25"/>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七</w:t>
      </w:r>
      <w:r>
        <w:rPr>
          <w:rFonts w:hint="default"/>
          <w:color w:val="auto"/>
          <w:highlight w:val="none"/>
          <w:lang w:val="en-US" w:eastAsia="zh-CN"/>
        </w:rPr>
        <w:t>）</w:t>
      </w:r>
      <w:r>
        <w:rPr>
          <w:rFonts w:hint="eastAsia"/>
          <w:color w:val="auto"/>
          <w:highlight w:val="none"/>
          <w:lang w:val="en-US" w:eastAsia="zh-CN"/>
        </w:rPr>
        <w:t>评审</w:t>
      </w:r>
      <w:r>
        <w:rPr>
          <w:rFonts w:hint="default"/>
          <w:color w:val="auto"/>
          <w:highlight w:val="none"/>
          <w:lang w:val="en-US" w:eastAsia="zh-CN"/>
        </w:rPr>
        <w:t>地点：重庆市红十字会医院（江北区人民医院）2号楼1层眼科会议室。</w:t>
      </w:r>
    </w:p>
    <w:p w14:paraId="708E6365">
      <w:pPr>
        <w:pStyle w:val="26"/>
        <w:numPr>
          <w:ilvl w:val="0"/>
          <w:numId w:val="2"/>
        </w:numPr>
        <w:bidi w:val="0"/>
        <w:ind w:left="0" w:leftChars="0" w:firstLine="480" w:firstLineChars="200"/>
        <w:rPr>
          <w:rFonts w:hint="default"/>
          <w:color w:val="auto"/>
          <w:highlight w:val="none"/>
          <w:lang w:val="en-US" w:eastAsia="zh-CN"/>
        </w:rPr>
      </w:pPr>
      <w:r>
        <w:rPr>
          <w:rFonts w:hint="eastAsia"/>
          <w:color w:val="auto"/>
          <w:highlight w:val="none"/>
          <w:lang w:val="en-US" w:eastAsia="zh-CN"/>
        </w:rPr>
        <w:t>其他</w:t>
      </w:r>
      <w:r>
        <w:rPr>
          <w:rFonts w:hint="default"/>
          <w:color w:val="auto"/>
          <w:highlight w:val="none"/>
          <w:lang w:val="en-US" w:eastAsia="zh-CN"/>
        </w:rPr>
        <w:t>有关规定</w:t>
      </w:r>
      <w:bookmarkEnd w:id="5"/>
    </w:p>
    <w:p w14:paraId="4BCB4485">
      <w:pPr>
        <w:pStyle w:val="25"/>
        <w:bidi w:val="0"/>
        <w:rPr>
          <w:rFonts w:hint="default"/>
          <w:color w:val="auto"/>
          <w:highlight w:val="none"/>
          <w:lang w:val="en-US" w:eastAsia="zh-CN"/>
        </w:rPr>
      </w:pPr>
      <w:r>
        <w:rPr>
          <w:rFonts w:hint="eastAsia"/>
          <w:color w:val="auto"/>
          <w:highlight w:val="none"/>
          <w:lang w:val="en-US" w:eastAsia="zh-CN"/>
        </w:rPr>
        <w:t>（</w:t>
      </w:r>
      <w:r>
        <w:rPr>
          <w:rFonts w:hint="default"/>
          <w:color w:val="auto"/>
          <w:highlight w:val="none"/>
          <w:lang w:val="en-US" w:eastAsia="zh-CN"/>
        </w:rPr>
        <w:t>一）法定代表人为同一人或者存在直接控股、管理关系的不同供应商，不得参加同一合同项（包）下的采购活动，否则均为无效响应。</w:t>
      </w:r>
    </w:p>
    <w:p w14:paraId="55D36F54">
      <w:pPr>
        <w:pStyle w:val="25"/>
        <w:bidi w:val="0"/>
        <w:rPr>
          <w:rFonts w:hint="default"/>
          <w:color w:val="auto"/>
          <w:highlight w:val="none"/>
          <w:lang w:val="en-US" w:eastAsia="zh-CN"/>
        </w:rPr>
      </w:pPr>
      <w:r>
        <w:rPr>
          <w:rFonts w:hint="default"/>
          <w:color w:val="auto"/>
          <w:highlight w:val="none"/>
          <w:lang w:val="en-US" w:eastAsia="zh-CN"/>
        </w:rPr>
        <w:t>（二）本项目的澄清文件（如果有）一律在重庆市红十字会医院官网https://www.cqshszhyy.cn/上发布，请各供应商注意下载；无论供应商下载或领取与否，均视同供应商已知晓本项目澄清文件（如果有）的内容。</w:t>
      </w:r>
    </w:p>
    <w:p w14:paraId="4EFEAC6F">
      <w:pPr>
        <w:pStyle w:val="25"/>
        <w:bidi w:val="0"/>
        <w:rPr>
          <w:rFonts w:hint="default"/>
          <w:color w:val="auto"/>
          <w:highlight w:val="none"/>
          <w:lang w:val="en-US" w:eastAsia="zh-CN"/>
        </w:rPr>
      </w:pPr>
      <w:r>
        <w:rPr>
          <w:rFonts w:hint="eastAsia"/>
          <w:color w:val="auto"/>
          <w:highlight w:val="none"/>
          <w:lang w:val="en-US" w:eastAsia="zh-CN"/>
        </w:rPr>
        <w:t>（三）</w:t>
      </w:r>
      <w:r>
        <w:rPr>
          <w:rFonts w:hint="default"/>
          <w:color w:val="auto"/>
          <w:highlight w:val="none"/>
          <w:lang w:val="en-US" w:eastAsia="zh-CN"/>
        </w:rPr>
        <w:t>超过提交截止时间、不按本采购文件规定密封的投标，恕不</w:t>
      </w:r>
      <w:r>
        <w:rPr>
          <w:rFonts w:hint="eastAsia"/>
          <w:color w:val="auto"/>
          <w:highlight w:val="none"/>
          <w:lang w:val="en-US" w:eastAsia="zh-CN"/>
        </w:rPr>
        <w:t>接收</w:t>
      </w:r>
      <w:r>
        <w:rPr>
          <w:rFonts w:hint="default"/>
          <w:color w:val="auto"/>
          <w:highlight w:val="none"/>
          <w:lang w:val="en-US" w:eastAsia="zh-CN"/>
        </w:rPr>
        <w:t>。</w:t>
      </w:r>
    </w:p>
    <w:p w14:paraId="16889B14">
      <w:pPr>
        <w:pStyle w:val="25"/>
        <w:bidi w:val="0"/>
        <w:rPr>
          <w:rFonts w:hint="default"/>
          <w:color w:val="auto"/>
          <w:highlight w:val="none"/>
          <w:lang w:val="en-US" w:eastAsia="zh-CN"/>
        </w:rPr>
      </w:pPr>
      <w:r>
        <w:rPr>
          <w:rFonts w:hint="default"/>
          <w:color w:val="auto"/>
          <w:highlight w:val="none"/>
          <w:lang w:val="en-US" w:eastAsia="zh-CN"/>
        </w:rPr>
        <w:t>（三）</w:t>
      </w:r>
      <w:r>
        <w:rPr>
          <w:rFonts w:hint="eastAsia"/>
          <w:color w:val="auto"/>
          <w:highlight w:val="none"/>
          <w:lang w:val="en-US" w:eastAsia="zh-CN"/>
        </w:rPr>
        <w:t>比选</w:t>
      </w:r>
      <w:r>
        <w:rPr>
          <w:rFonts w:hint="default"/>
          <w:color w:val="auto"/>
          <w:highlight w:val="none"/>
          <w:lang w:val="en-US" w:eastAsia="zh-CN"/>
        </w:rPr>
        <w:t>费用：无论</w:t>
      </w:r>
      <w:r>
        <w:rPr>
          <w:rFonts w:hint="eastAsia"/>
          <w:color w:val="auto"/>
          <w:highlight w:val="none"/>
          <w:lang w:val="en-US" w:eastAsia="zh-CN"/>
        </w:rPr>
        <w:t>比选</w:t>
      </w:r>
      <w:r>
        <w:rPr>
          <w:rFonts w:hint="default"/>
          <w:color w:val="auto"/>
          <w:highlight w:val="none"/>
          <w:lang w:val="en-US" w:eastAsia="zh-CN"/>
        </w:rPr>
        <w:t>结果如何，供应商参与本项目</w:t>
      </w:r>
      <w:r>
        <w:rPr>
          <w:rFonts w:hint="eastAsia"/>
          <w:color w:val="auto"/>
          <w:highlight w:val="none"/>
          <w:lang w:val="en-US" w:eastAsia="zh-CN"/>
        </w:rPr>
        <w:t>比选</w:t>
      </w:r>
      <w:r>
        <w:rPr>
          <w:rFonts w:hint="default"/>
          <w:color w:val="auto"/>
          <w:highlight w:val="none"/>
          <w:lang w:val="en-US" w:eastAsia="zh-CN"/>
        </w:rPr>
        <w:t>的所有费用均应由供应商自行承担。</w:t>
      </w:r>
    </w:p>
    <w:p w14:paraId="5F532964">
      <w:pPr>
        <w:pStyle w:val="25"/>
        <w:bidi w:val="0"/>
        <w:rPr>
          <w:rFonts w:hint="default"/>
          <w:color w:val="auto"/>
          <w:highlight w:val="none"/>
          <w:lang w:val="en-US" w:eastAsia="zh-CN"/>
        </w:rPr>
      </w:pPr>
      <w:r>
        <w:rPr>
          <w:rFonts w:hint="eastAsia"/>
          <w:color w:val="auto"/>
          <w:highlight w:val="none"/>
          <w:lang w:val="en-US" w:eastAsia="zh-CN"/>
        </w:rPr>
        <w:t>（四）</w:t>
      </w:r>
      <w:r>
        <w:rPr>
          <w:rFonts w:hint="default"/>
          <w:color w:val="auto"/>
          <w:highlight w:val="none"/>
          <w:lang w:val="en-US" w:eastAsia="zh-CN"/>
        </w:rPr>
        <w:t>本项目不接受联合体参与报价，否则按无效处理。</w:t>
      </w:r>
    </w:p>
    <w:p w14:paraId="5EEC6D49">
      <w:pPr>
        <w:pStyle w:val="25"/>
        <w:bidi w:val="0"/>
        <w:rPr>
          <w:rFonts w:hint="default"/>
          <w:color w:val="auto"/>
          <w:highlight w:val="none"/>
          <w:lang w:val="en-US" w:eastAsia="zh-CN"/>
        </w:rPr>
      </w:pPr>
      <w:r>
        <w:rPr>
          <w:rFonts w:hint="default"/>
          <w:color w:val="auto"/>
          <w:highlight w:val="none"/>
          <w:lang w:val="en-US" w:eastAsia="zh-CN"/>
        </w:rPr>
        <w:t>（五）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5D3A446">
      <w:pPr>
        <w:pStyle w:val="26"/>
        <w:bidi w:val="0"/>
        <w:rPr>
          <w:rFonts w:hint="default"/>
          <w:color w:val="auto"/>
          <w:highlight w:val="none"/>
        </w:rPr>
      </w:pPr>
      <w:r>
        <w:rPr>
          <w:rFonts w:hint="eastAsia"/>
          <w:color w:val="auto"/>
          <w:highlight w:val="none"/>
          <w:lang w:eastAsia="zh-CN"/>
        </w:rPr>
        <w:t>六、</w:t>
      </w:r>
      <w:r>
        <w:rPr>
          <w:rFonts w:hint="default"/>
          <w:color w:val="auto"/>
          <w:highlight w:val="none"/>
        </w:rPr>
        <w:t>联系方式</w:t>
      </w:r>
    </w:p>
    <w:p w14:paraId="3EC8AD89">
      <w:pPr>
        <w:pStyle w:val="25"/>
        <w:bidi w:val="0"/>
        <w:rPr>
          <w:rFonts w:hint="default"/>
          <w:color w:val="auto"/>
          <w:highlight w:val="none"/>
          <w:lang w:val="en-US" w:eastAsia="zh-CN"/>
        </w:rPr>
      </w:pPr>
      <w:r>
        <w:rPr>
          <w:rFonts w:hint="default"/>
          <w:color w:val="auto"/>
          <w:highlight w:val="none"/>
          <w:lang w:val="en-US" w:eastAsia="zh-CN"/>
        </w:rPr>
        <w:t>采购人：重庆市红十字会医院（江北区人民医院）</w:t>
      </w:r>
    </w:p>
    <w:p w14:paraId="34237CBA">
      <w:pPr>
        <w:pStyle w:val="25"/>
        <w:bidi w:val="0"/>
        <w:rPr>
          <w:rFonts w:hint="default"/>
          <w:color w:val="auto"/>
          <w:highlight w:val="none"/>
          <w:lang w:val="en-US" w:eastAsia="zh-CN"/>
        </w:rPr>
      </w:pPr>
      <w:r>
        <w:rPr>
          <w:rFonts w:hint="default"/>
          <w:color w:val="auto"/>
          <w:highlight w:val="none"/>
          <w:lang w:val="en-US" w:eastAsia="zh-CN"/>
        </w:rPr>
        <w:t>联系人：</w:t>
      </w:r>
      <w:r>
        <w:rPr>
          <w:rFonts w:hint="eastAsia"/>
          <w:color w:val="auto"/>
          <w:highlight w:val="none"/>
          <w:lang w:val="en-US" w:eastAsia="zh-CN"/>
        </w:rPr>
        <w:t>赖</w:t>
      </w:r>
      <w:r>
        <w:rPr>
          <w:rFonts w:hint="default"/>
          <w:color w:val="auto"/>
          <w:highlight w:val="none"/>
          <w:lang w:val="en-US" w:eastAsia="zh-CN"/>
        </w:rPr>
        <w:t>老师        电  话：023-8851</w:t>
      </w:r>
      <w:r>
        <w:rPr>
          <w:rFonts w:hint="eastAsia"/>
          <w:color w:val="auto"/>
          <w:highlight w:val="none"/>
          <w:lang w:val="en-US" w:eastAsia="zh-CN"/>
        </w:rPr>
        <w:t>9215</w:t>
      </w:r>
    </w:p>
    <w:p w14:paraId="26BACBE8">
      <w:pPr>
        <w:pStyle w:val="25"/>
        <w:bidi w:val="0"/>
        <w:rPr>
          <w:rFonts w:hint="eastAsia"/>
          <w:color w:val="auto"/>
          <w:highlight w:val="none"/>
          <w:lang w:val="en-US" w:eastAsia="zh-CN"/>
        </w:rPr>
      </w:pPr>
      <w:r>
        <w:rPr>
          <w:rFonts w:hint="default"/>
          <w:color w:val="auto"/>
          <w:highlight w:val="none"/>
          <w:lang w:val="en-US" w:eastAsia="zh-CN"/>
        </w:rPr>
        <w:t>地址：</w:t>
      </w:r>
      <w:r>
        <w:rPr>
          <w:rFonts w:hint="eastAsia"/>
          <w:color w:val="auto"/>
          <w:highlight w:val="none"/>
          <w:lang w:val="en-US" w:eastAsia="zh-CN"/>
        </w:rPr>
        <w:t>两江新区华新街道嘉华路</w:t>
      </w:r>
      <w:r>
        <w:rPr>
          <w:rFonts w:hint="default"/>
          <w:color w:val="auto"/>
          <w:highlight w:val="none"/>
          <w:lang w:val="en-US" w:eastAsia="zh-CN"/>
        </w:rPr>
        <w:t>嘉陵一村1号，重庆市红十字会医院（江北区人民医院）</w:t>
      </w:r>
    </w:p>
    <w:p w14:paraId="66B6E457">
      <w:pPr>
        <w:pStyle w:val="2"/>
        <w:pageBreakBefore w:val="0"/>
        <w:widowControl w:val="0"/>
        <w:numPr>
          <w:ilvl w:val="0"/>
          <w:numId w:val="3"/>
        </w:numPr>
        <w:kinsoku/>
        <w:wordWrap/>
        <w:overflowPunct/>
        <w:topLinePunct w:val="0"/>
        <w:autoSpaceDE/>
        <w:autoSpaceDN/>
        <w:bidi w:val="0"/>
        <w:spacing w:line="480" w:lineRule="exact"/>
        <w:textAlignment w:val="auto"/>
        <w:rPr>
          <w:rStyle w:val="31"/>
          <w:rFonts w:hint="default"/>
          <w:color w:val="auto"/>
          <w:highlight w:val="none"/>
        </w:rPr>
      </w:pPr>
      <w:r>
        <w:rPr>
          <w:rFonts w:hint="eastAsia" w:ascii="方正仿宋_GBK" w:hAnsi="方正仿宋_GBK" w:eastAsia="方正仿宋_GBK" w:cs="方正仿宋_GBK"/>
          <w:color w:val="auto"/>
          <w:highlight w:val="none"/>
        </w:rPr>
        <w:br w:type="page"/>
      </w:r>
      <w:bookmarkStart w:id="6" w:name="_Toc340223139"/>
      <w:r>
        <w:rPr>
          <w:rStyle w:val="31"/>
          <w:rFonts w:hint="default"/>
          <w:color w:val="auto"/>
          <w:highlight w:val="none"/>
        </w:rPr>
        <w:t>项目技术要求</w:t>
      </w:r>
      <w:bookmarkEnd w:id="6"/>
    </w:p>
    <w:p w14:paraId="14D08A15">
      <w:pPr>
        <w:pStyle w:val="26"/>
        <w:numPr>
          <w:ilvl w:val="0"/>
          <w:numId w:val="0"/>
        </w:numPr>
        <w:bidi w:val="0"/>
        <w:ind w:leftChars="200"/>
        <w:rPr>
          <w:rFonts w:hint="eastAsia"/>
          <w:color w:val="auto"/>
          <w:lang w:val="en-US" w:eastAsia="zh-CN"/>
        </w:rPr>
      </w:pPr>
      <w:bookmarkStart w:id="7" w:name="_Toc489363942"/>
      <w:bookmarkStart w:id="8" w:name="_Toc27971"/>
      <w:bookmarkStart w:id="9" w:name="_Toc8361"/>
      <w:r>
        <w:rPr>
          <w:rFonts w:hint="eastAsia"/>
          <w:color w:val="auto"/>
          <w:lang w:val="en-US" w:eastAsia="zh-CN"/>
        </w:rPr>
        <w:t>※一、</w:t>
      </w:r>
      <w:bookmarkEnd w:id="7"/>
      <w:bookmarkEnd w:id="8"/>
      <w:r>
        <w:rPr>
          <w:rFonts w:hint="eastAsia"/>
          <w:color w:val="auto"/>
          <w:lang w:val="en-US" w:eastAsia="zh-CN"/>
        </w:rPr>
        <w:t>招标一览表</w:t>
      </w:r>
      <w:bookmarkEnd w:id="9"/>
    </w:p>
    <w:tbl>
      <w:tblPr>
        <w:tblStyle w:val="21"/>
        <w:tblW w:w="94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380"/>
        <w:gridCol w:w="1380"/>
        <w:gridCol w:w="870"/>
        <w:gridCol w:w="765"/>
        <w:gridCol w:w="1455"/>
        <w:gridCol w:w="4579"/>
      </w:tblGrid>
      <w:tr w14:paraId="2B5E5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2" w:hRule="atLeast"/>
          <w:jc w:val="center"/>
        </w:trPr>
        <w:tc>
          <w:tcPr>
            <w:tcW w:w="380" w:type="dxa"/>
            <w:noWrap w:val="0"/>
            <w:vAlign w:val="center"/>
          </w:tcPr>
          <w:p w14:paraId="7C390F38">
            <w:pPr>
              <w:pStyle w:val="4"/>
              <w:spacing w:before="0" w:after="0" w:line="400" w:lineRule="exact"/>
              <w:jc w:val="center"/>
              <w:rPr>
                <w:rFonts w:hint="eastAsia" w:ascii="方正仿宋_GBK" w:hAnsi="宋体" w:eastAsia="方正仿宋_GBK" w:cs="Times New Roman"/>
                <w:b w:val="0"/>
                <w:bCs/>
                <w:color w:val="auto"/>
                <w:sz w:val="24"/>
                <w:szCs w:val="24"/>
                <w:lang w:eastAsia="zh-CN"/>
              </w:rPr>
            </w:pPr>
            <w:r>
              <w:rPr>
                <w:rFonts w:hint="eastAsia" w:ascii="方正仿宋_GBK" w:hAnsi="宋体" w:eastAsia="方正仿宋_GBK" w:cs="Times New Roman"/>
                <w:b w:val="0"/>
                <w:bCs/>
                <w:color w:val="auto"/>
                <w:sz w:val="24"/>
                <w:szCs w:val="24"/>
                <w:lang w:eastAsia="zh-CN"/>
              </w:rPr>
              <w:t>分包</w:t>
            </w:r>
          </w:p>
        </w:tc>
        <w:tc>
          <w:tcPr>
            <w:tcW w:w="1380" w:type="dxa"/>
            <w:noWrap w:val="0"/>
            <w:vAlign w:val="center"/>
          </w:tcPr>
          <w:p w14:paraId="103EDB03">
            <w:pPr>
              <w:pStyle w:val="4"/>
              <w:spacing w:before="0" w:after="0" w:line="400" w:lineRule="exact"/>
              <w:jc w:val="center"/>
              <w:rPr>
                <w:rFonts w:hint="eastAsia" w:ascii="方正仿宋_GBK" w:hAnsi="宋体" w:eastAsia="方正仿宋_GBK" w:cs="Times New Roman"/>
                <w:b w:val="0"/>
                <w:bCs/>
                <w:color w:val="auto"/>
                <w:sz w:val="24"/>
                <w:szCs w:val="24"/>
              </w:rPr>
            </w:pPr>
            <w:r>
              <w:rPr>
                <w:rFonts w:hint="eastAsia" w:ascii="方正仿宋_GBK" w:hAnsi="宋体" w:eastAsia="方正仿宋_GBK" w:cs="Times New Roman"/>
                <w:b w:val="0"/>
                <w:bCs/>
                <w:color w:val="auto"/>
                <w:sz w:val="24"/>
                <w:szCs w:val="24"/>
              </w:rPr>
              <w:t>产品名称</w:t>
            </w:r>
          </w:p>
          <w:p w14:paraId="56D8F894">
            <w:pPr>
              <w:pStyle w:val="4"/>
              <w:spacing w:before="0" w:after="0" w:line="400" w:lineRule="exact"/>
              <w:jc w:val="center"/>
              <w:rPr>
                <w:rFonts w:hint="eastAsia" w:ascii="方正仿宋_GBK" w:hAnsi="宋体" w:eastAsia="方正仿宋_GBK" w:cs="Times New Roman"/>
                <w:b w:val="0"/>
                <w:bCs/>
                <w:color w:val="auto"/>
                <w:sz w:val="24"/>
                <w:szCs w:val="24"/>
                <w:lang w:val="en-US" w:eastAsia="zh-CN"/>
              </w:rPr>
            </w:pPr>
            <w:r>
              <w:rPr>
                <w:rFonts w:hint="eastAsia" w:ascii="方正仿宋_GBK" w:hAnsi="宋体" w:eastAsia="方正仿宋_GBK" w:cs="Times New Roman"/>
                <w:b w:val="0"/>
                <w:bCs/>
                <w:color w:val="auto"/>
                <w:sz w:val="24"/>
                <w:szCs w:val="24"/>
                <w:lang w:val="en-US" w:eastAsia="zh-CN"/>
              </w:rPr>
              <w:t>(</w:t>
            </w:r>
            <w:r>
              <w:rPr>
                <w:rFonts w:hint="eastAsia" w:ascii="方正仿宋_GBK" w:hAnsi="宋体" w:eastAsia="方正仿宋_GBK" w:cs="Times New Roman"/>
                <w:b w:val="0"/>
                <w:bCs/>
                <w:color w:val="auto"/>
                <w:sz w:val="24"/>
                <w:szCs w:val="24"/>
              </w:rPr>
              <w:t>设备名称</w:t>
            </w:r>
            <w:r>
              <w:rPr>
                <w:rFonts w:hint="eastAsia" w:ascii="方正仿宋_GBK" w:hAnsi="宋体" w:eastAsia="方正仿宋_GBK" w:cs="Times New Roman"/>
                <w:b w:val="0"/>
                <w:bCs/>
                <w:color w:val="auto"/>
                <w:sz w:val="24"/>
                <w:szCs w:val="24"/>
                <w:lang w:val="en-US" w:eastAsia="zh-CN"/>
              </w:rPr>
              <w:t>)</w:t>
            </w:r>
          </w:p>
        </w:tc>
        <w:tc>
          <w:tcPr>
            <w:tcW w:w="870" w:type="dxa"/>
            <w:noWrap w:val="0"/>
            <w:vAlign w:val="top"/>
          </w:tcPr>
          <w:p w14:paraId="364E42F8">
            <w:pPr>
              <w:pStyle w:val="4"/>
              <w:spacing w:before="0" w:after="0" w:line="400" w:lineRule="exact"/>
              <w:jc w:val="center"/>
              <w:rPr>
                <w:rFonts w:hint="eastAsia" w:ascii="方正仿宋_GBK" w:hAnsi="宋体" w:eastAsia="方正仿宋_GBK" w:cs="Times New Roman"/>
                <w:b w:val="0"/>
                <w:bCs/>
                <w:color w:val="auto"/>
                <w:sz w:val="24"/>
                <w:szCs w:val="24"/>
              </w:rPr>
            </w:pPr>
            <w:r>
              <w:rPr>
                <w:rFonts w:hint="eastAsia" w:ascii="方正仿宋_GBK" w:hAnsi="宋体" w:eastAsia="方正仿宋_GBK" w:cs="Times New Roman"/>
                <w:b w:val="0"/>
                <w:bCs/>
                <w:color w:val="auto"/>
                <w:sz w:val="24"/>
                <w:szCs w:val="24"/>
                <w:lang w:val="en-US" w:eastAsia="zh-CN"/>
              </w:rPr>
              <w:t>单价（元）</w:t>
            </w:r>
          </w:p>
        </w:tc>
        <w:tc>
          <w:tcPr>
            <w:tcW w:w="765" w:type="dxa"/>
            <w:noWrap w:val="0"/>
            <w:vAlign w:val="center"/>
          </w:tcPr>
          <w:p w14:paraId="1E210F5B">
            <w:pPr>
              <w:pStyle w:val="4"/>
              <w:spacing w:before="0" w:after="0" w:line="400" w:lineRule="exact"/>
              <w:jc w:val="center"/>
              <w:rPr>
                <w:rFonts w:hint="eastAsia" w:ascii="方正仿宋_GBK" w:hAnsi="宋体" w:eastAsia="方正仿宋_GBK" w:cs="Times New Roman"/>
                <w:b w:val="0"/>
                <w:bCs/>
                <w:color w:val="auto"/>
                <w:sz w:val="24"/>
                <w:szCs w:val="24"/>
              </w:rPr>
            </w:pPr>
            <w:r>
              <w:rPr>
                <w:rFonts w:hint="eastAsia" w:ascii="方正仿宋_GBK" w:hAnsi="宋体" w:eastAsia="方正仿宋_GBK" w:cs="Times New Roman"/>
                <w:b w:val="0"/>
                <w:bCs/>
                <w:color w:val="auto"/>
                <w:sz w:val="24"/>
                <w:szCs w:val="24"/>
              </w:rPr>
              <w:t>数量/单位</w:t>
            </w:r>
          </w:p>
        </w:tc>
        <w:tc>
          <w:tcPr>
            <w:tcW w:w="1455" w:type="dxa"/>
            <w:noWrap w:val="0"/>
            <w:vAlign w:val="top"/>
          </w:tcPr>
          <w:p w14:paraId="0451DB43">
            <w:pPr>
              <w:pStyle w:val="4"/>
              <w:spacing w:before="0" w:after="0" w:line="400" w:lineRule="exact"/>
              <w:jc w:val="center"/>
              <w:rPr>
                <w:rFonts w:hint="default" w:ascii="方正仿宋_GBK" w:hAnsi="宋体" w:eastAsia="方正仿宋_GBK" w:cs="Times New Roman"/>
                <w:b w:val="0"/>
                <w:bCs/>
                <w:color w:val="auto"/>
                <w:sz w:val="24"/>
                <w:szCs w:val="24"/>
                <w:lang w:val="en-US" w:eastAsia="zh-CN"/>
              </w:rPr>
            </w:pPr>
            <w:r>
              <w:rPr>
                <w:rFonts w:hint="eastAsia" w:ascii="方正仿宋_GBK" w:hAnsi="宋体" w:eastAsia="方正仿宋_GBK" w:cs="Times New Roman"/>
                <w:b w:val="0"/>
                <w:bCs/>
                <w:color w:val="auto"/>
                <w:sz w:val="24"/>
                <w:szCs w:val="24"/>
              </w:rPr>
              <w:t>限价</w:t>
            </w:r>
            <w:r>
              <w:rPr>
                <w:rFonts w:hint="eastAsia" w:ascii="方正仿宋_GBK" w:hAnsi="宋体" w:eastAsia="方正仿宋_GBK" w:cs="Times New Roman"/>
                <w:b w:val="0"/>
                <w:bCs/>
                <w:color w:val="auto"/>
                <w:sz w:val="24"/>
                <w:szCs w:val="24"/>
                <w:lang w:val="en-US" w:eastAsia="zh-CN"/>
              </w:rPr>
              <w:t>（元）</w:t>
            </w:r>
          </w:p>
        </w:tc>
        <w:tc>
          <w:tcPr>
            <w:tcW w:w="4579" w:type="dxa"/>
            <w:noWrap w:val="0"/>
            <w:vAlign w:val="center"/>
          </w:tcPr>
          <w:p w14:paraId="4CDD3DD4">
            <w:pPr>
              <w:pStyle w:val="4"/>
              <w:spacing w:before="0" w:after="0" w:line="400" w:lineRule="exact"/>
              <w:jc w:val="center"/>
              <w:rPr>
                <w:rFonts w:hint="eastAsia" w:ascii="方正仿宋_GBK" w:hAnsi="宋体" w:eastAsia="方正仿宋_GBK" w:cs="Times New Roman"/>
                <w:b w:val="0"/>
                <w:bCs/>
                <w:color w:val="auto"/>
                <w:sz w:val="24"/>
                <w:szCs w:val="24"/>
              </w:rPr>
            </w:pPr>
            <w:r>
              <w:rPr>
                <w:rFonts w:hint="eastAsia" w:ascii="方正仿宋_GBK" w:hAnsi="宋体" w:eastAsia="方正仿宋_GBK" w:cs="Times New Roman"/>
                <w:b w:val="0"/>
                <w:bCs/>
                <w:color w:val="auto"/>
                <w:sz w:val="24"/>
                <w:szCs w:val="24"/>
              </w:rPr>
              <w:t>备注</w:t>
            </w:r>
          </w:p>
        </w:tc>
      </w:tr>
      <w:tr w14:paraId="1BFB2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0" w:hRule="atLeast"/>
          <w:jc w:val="center"/>
        </w:trPr>
        <w:tc>
          <w:tcPr>
            <w:tcW w:w="380" w:type="dxa"/>
            <w:vMerge w:val="restart"/>
            <w:noWrap w:val="0"/>
            <w:vAlign w:val="center"/>
          </w:tcPr>
          <w:p w14:paraId="675924AE">
            <w:pPr>
              <w:pStyle w:val="4"/>
              <w:spacing w:before="0" w:after="0" w:line="400" w:lineRule="exact"/>
              <w:jc w:val="center"/>
              <w:rPr>
                <w:rFonts w:hint="eastAsia" w:ascii="方正仿宋_GBK" w:hAnsi="宋体" w:eastAsia="方正仿宋_GBK" w:cs="Times New Roman"/>
                <w:b w:val="0"/>
                <w:bCs/>
                <w:color w:val="auto"/>
                <w:sz w:val="24"/>
                <w:szCs w:val="24"/>
                <w:lang w:val="en-US" w:eastAsia="zh-CN"/>
              </w:rPr>
            </w:pPr>
            <w:r>
              <w:rPr>
                <w:rFonts w:hint="eastAsia" w:ascii="方正仿宋_GBK" w:hAnsi="宋体" w:eastAsia="方正仿宋_GBK" w:cs="Times New Roman"/>
                <w:b w:val="0"/>
                <w:bCs/>
                <w:color w:val="auto"/>
                <w:sz w:val="24"/>
                <w:szCs w:val="24"/>
                <w:lang w:val="en-US" w:eastAsia="zh-CN"/>
              </w:rPr>
              <w:t>1</w:t>
            </w:r>
          </w:p>
        </w:tc>
        <w:tc>
          <w:tcPr>
            <w:tcW w:w="1380" w:type="dxa"/>
            <w:noWrap w:val="0"/>
            <w:vAlign w:val="center"/>
          </w:tcPr>
          <w:p w14:paraId="412A73ED">
            <w:pPr>
              <w:pStyle w:val="4"/>
              <w:spacing w:before="0" w:after="0" w:line="400" w:lineRule="exact"/>
              <w:jc w:val="center"/>
              <w:rPr>
                <w:rFonts w:hint="default" w:ascii="方正仿宋_GBK" w:hAnsi="宋体" w:eastAsia="方正仿宋_GBK" w:cs="Times New Roman"/>
                <w:b w:val="0"/>
                <w:bCs/>
                <w:color w:val="auto"/>
                <w:sz w:val="24"/>
                <w:szCs w:val="24"/>
                <w:lang w:val="en-US" w:eastAsia="zh-CN"/>
              </w:rPr>
            </w:pPr>
            <w:r>
              <w:rPr>
                <w:rFonts w:hint="eastAsia" w:ascii="方正仿宋_GBK" w:hAnsi="宋体" w:eastAsia="方正仿宋_GBK" w:cs="Times New Roman"/>
                <w:b w:val="0"/>
                <w:bCs/>
                <w:color w:val="auto"/>
                <w:sz w:val="24"/>
                <w:szCs w:val="24"/>
                <w:lang w:val="en-US" w:eastAsia="zh-CN"/>
              </w:rPr>
              <w:t>血气分析仪</w:t>
            </w:r>
          </w:p>
        </w:tc>
        <w:tc>
          <w:tcPr>
            <w:tcW w:w="870" w:type="dxa"/>
            <w:noWrap w:val="0"/>
            <w:vAlign w:val="center"/>
          </w:tcPr>
          <w:p w14:paraId="75912159">
            <w:pPr>
              <w:pStyle w:val="4"/>
              <w:spacing w:before="0" w:after="0" w:line="400" w:lineRule="exact"/>
              <w:jc w:val="center"/>
              <w:rPr>
                <w:rFonts w:hint="eastAsia" w:ascii="方正仿宋_GBK" w:hAnsi="宋体" w:eastAsia="方正仿宋_GBK" w:cs="Times New Roman"/>
                <w:b w:val="0"/>
                <w:bCs/>
                <w:color w:val="auto"/>
                <w:sz w:val="24"/>
                <w:szCs w:val="24"/>
                <w:lang w:val="en-US" w:eastAsia="zh-CN"/>
              </w:rPr>
            </w:pPr>
            <w:r>
              <w:rPr>
                <w:rFonts w:hint="eastAsia" w:ascii="方正仿宋_GBK" w:hAnsi="宋体" w:eastAsia="方正仿宋_GBK" w:cs="Times New Roman"/>
                <w:b w:val="0"/>
                <w:bCs/>
                <w:color w:val="auto"/>
                <w:sz w:val="24"/>
                <w:szCs w:val="24"/>
                <w:lang w:val="en-US" w:eastAsia="zh-CN"/>
              </w:rPr>
              <w:t>2000</w:t>
            </w:r>
          </w:p>
        </w:tc>
        <w:tc>
          <w:tcPr>
            <w:tcW w:w="765" w:type="dxa"/>
            <w:noWrap w:val="0"/>
            <w:vAlign w:val="center"/>
          </w:tcPr>
          <w:p w14:paraId="1469DCBA">
            <w:pPr>
              <w:pStyle w:val="4"/>
              <w:spacing w:before="0" w:after="0" w:line="400" w:lineRule="exact"/>
              <w:jc w:val="center"/>
              <w:rPr>
                <w:rFonts w:hint="eastAsia" w:ascii="方正仿宋_GBK" w:hAnsi="宋体" w:eastAsia="方正仿宋_GBK" w:cs="Times New Roman"/>
                <w:b w:val="0"/>
                <w:bCs/>
                <w:color w:val="auto"/>
                <w:sz w:val="24"/>
                <w:szCs w:val="24"/>
                <w:lang w:val="en-US" w:eastAsia="zh-CN"/>
              </w:rPr>
            </w:pPr>
            <w:r>
              <w:rPr>
                <w:rFonts w:hint="eastAsia" w:ascii="方正仿宋_GBK" w:hAnsi="宋体" w:eastAsia="方正仿宋_GBK" w:cs="Times New Roman"/>
                <w:b w:val="0"/>
                <w:bCs/>
                <w:color w:val="auto"/>
                <w:sz w:val="24"/>
                <w:szCs w:val="24"/>
                <w:lang w:val="en-US" w:eastAsia="zh-CN"/>
              </w:rPr>
              <w:t>4套</w:t>
            </w:r>
          </w:p>
        </w:tc>
        <w:tc>
          <w:tcPr>
            <w:tcW w:w="1455" w:type="dxa"/>
            <w:noWrap w:val="0"/>
            <w:vAlign w:val="center"/>
          </w:tcPr>
          <w:p w14:paraId="1CA59AFF">
            <w:pPr>
              <w:pStyle w:val="4"/>
              <w:spacing w:before="0" w:after="0" w:line="400" w:lineRule="exact"/>
              <w:jc w:val="center"/>
              <w:rPr>
                <w:rFonts w:hint="default" w:ascii="方正仿宋_GBK" w:hAnsi="宋体" w:eastAsia="方正仿宋_GBK" w:cs="Times New Roman"/>
                <w:b w:val="0"/>
                <w:bCs/>
                <w:color w:val="auto"/>
                <w:sz w:val="24"/>
                <w:szCs w:val="24"/>
                <w:lang w:val="en-US" w:eastAsia="zh-CN"/>
              </w:rPr>
            </w:pPr>
            <w:r>
              <w:rPr>
                <w:rFonts w:hint="eastAsia" w:ascii="方正仿宋_GBK" w:hAnsi="宋体" w:eastAsia="方正仿宋_GBK" w:cs="Times New Roman"/>
                <w:b w:val="0"/>
                <w:bCs/>
                <w:color w:val="auto"/>
                <w:sz w:val="24"/>
                <w:szCs w:val="24"/>
                <w:lang w:val="en-US" w:eastAsia="zh-CN"/>
              </w:rPr>
              <w:t>8000</w:t>
            </w:r>
          </w:p>
        </w:tc>
        <w:tc>
          <w:tcPr>
            <w:tcW w:w="4579" w:type="dxa"/>
            <w:noWrap w:val="0"/>
            <w:vAlign w:val="center"/>
          </w:tcPr>
          <w:p w14:paraId="47771B02">
            <w:pPr>
              <w:pStyle w:val="4"/>
              <w:spacing w:before="0" w:after="0" w:line="400" w:lineRule="exact"/>
              <w:jc w:val="both"/>
              <w:rPr>
                <w:rFonts w:hint="eastAsia" w:ascii="方正仿宋_GBK" w:hAnsi="宋体" w:eastAsia="方正仿宋_GBK" w:cs="Times New Roman"/>
                <w:b w:val="0"/>
                <w:bCs/>
                <w:color w:val="auto"/>
                <w:sz w:val="24"/>
                <w:szCs w:val="24"/>
                <w:lang w:val="en-US" w:eastAsia="zh-CN"/>
              </w:rPr>
            </w:pPr>
            <w:r>
              <w:rPr>
                <w:rFonts w:hint="default" w:ascii="方正仿宋_GBK" w:hAnsi="宋体" w:eastAsia="方正仿宋_GBK" w:cs="Times New Roman"/>
                <w:b w:val="0"/>
                <w:bCs/>
                <w:color w:val="auto"/>
                <w:sz w:val="24"/>
                <w:szCs w:val="24"/>
                <w:lang w:val="en-US" w:eastAsia="zh-CN"/>
              </w:rPr>
              <w:t>报价（货币币制如未作特别说明均为人民币）</w:t>
            </w:r>
            <w:r>
              <w:rPr>
                <w:rFonts w:hint="eastAsia" w:ascii="方正仿宋_GBK" w:hAnsi="宋体" w:eastAsia="方正仿宋_GBK" w:cs="Times New Roman"/>
                <w:b w:val="0"/>
                <w:bCs/>
                <w:color w:val="auto"/>
                <w:sz w:val="24"/>
                <w:szCs w:val="24"/>
                <w:lang w:val="en-US" w:eastAsia="zh-CN"/>
              </w:rPr>
              <w:t>包括</w:t>
            </w:r>
            <w:r>
              <w:rPr>
                <w:rFonts w:hint="default" w:ascii="方正仿宋_GBK" w:hAnsi="宋体" w:eastAsia="方正仿宋_GBK" w:cs="Times New Roman"/>
                <w:b w:val="0"/>
                <w:bCs/>
                <w:color w:val="auto"/>
                <w:sz w:val="24"/>
                <w:szCs w:val="24"/>
                <w:lang w:val="en-US" w:eastAsia="zh-CN"/>
              </w:rPr>
              <w:t>完成本项目</w:t>
            </w:r>
            <w:r>
              <w:rPr>
                <w:rFonts w:hint="eastAsia" w:ascii="方正仿宋_GBK" w:hAnsi="宋体" w:eastAsia="方正仿宋_GBK" w:cs="Times New Roman"/>
                <w:b w:val="0"/>
                <w:bCs/>
                <w:color w:val="auto"/>
                <w:sz w:val="24"/>
                <w:szCs w:val="24"/>
                <w:lang w:val="en-US" w:eastAsia="zh-CN"/>
              </w:rPr>
              <w:t>设备购置</w:t>
            </w:r>
            <w:r>
              <w:rPr>
                <w:rFonts w:hint="default" w:ascii="方正仿宋_GBK" w:hAnsi="宋体" w:eastAsia="方正仿宋_GBK" w:cs="Times New Roman"/>
                <w:b w:val="0"/>
                <w:bCs/>
                <w:color w:val="auto"/>
                <w:sz w:val="24"/>
                <w:szCs w:val="24"/>
                <w:lang w:val="en-US" w:eastAsia="zh-CN"/>
              </w:rPr>
              <w:t>的全部</w:t>
            </w:r>
            <w:r>
              <w:rPr>
                <w:rFonts w:hint="eastAsia" w:ascii="方正仿宋_GBK" w:hAnsi="宋体" w:eastAsia="方正仿宋_GBK" w:cs="Times New Roman"/>
                <w:b w:val="0"/>
                <w:bCs/>
                <w:color w:val="auto"/>
                <w:sz w:val="24"/>
                <w:szCs w:val="24"/>
                <w:lang w:val="en-US" w:eastAsia="zh-CN"/>
              </w:rPr>
              <w:t>费用</w:t>
            </w:r>
            <w:r>
              <w:rPr>
                <w:rFonts w:hint="default" w:ascii="方正仿宋_GBK" w:hAnsi="宋体" w:eastAsia="方正仿宋_GBK" w:cs="Times New Roman"/>
                <w:b w:val="0"/>
                <w:bCs/>
                <w:color w:val="auto"/>
                <w:sz w:val="24"/>
                <w:szCs w:val="24"/>
                <w:lang w:val="en-US" w:eastAsia="zh-CN"/>
              </w:rPr>
              <w:t>，包括商品价、运输费(含包装费、装卸费)、保险费、安装调试费、税费(若有进口商品，须包含关税)、培训费、供应商工作人员差旅费、第三方机构验收费用等供应商将全部商品送达至采购人指定地点并安装调试能够运行的所有费用及质保期内的售后服务费，均由供应商承担。合同履行期间合同总价款不变，采购人应当按合同约定进行付款，采购人无须另行向供应商支付合同约定之外的其他任何费用。</w:t>
            </w:r>
          </w:p>
        </w:tc>
      </w:tr>
      <w:tr w14:paraId="7110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380" w:type="dxa"/>
            <w:vMerge w:val="continue"/>
            <w:noWrap w:val="0"/>
            <w:vAlign w:val="center"/>
          </w:tcPr>
          <w:p w14:paraId="6B77F622">
            <w:pPr>
              <w:snapToGrid w:val="0"/>
              <w:spacing w:line="400" w:lineRule="exact"/>
              <w:jc w:val="center"/>
              <w:rPr>
                <w:rFonts w:hint="eastAsia" w:ascii="仿宋" w:hAnsi="仿宋" w:eastAsia="仿宋" w:cs="仿宋"/>
                <w:color w:val="auto"/>
                <w:sz w:val="24"/>
                <w:szCs w:val="24"/>
              </w:rPr>
            </w:pPr>
          </w:p>
        </w:tc>
        <w:tc>
          <w:tcPr>
            <w:tcW w:w="1380" w:type="dxa"/>
            <w:noWrap w:val="0"/>
            <w:vAlign w:val="center"/>
          </w:tcPr>
          <w:p w14:paraId="4BE7F2AC">
            <w:pPr>
              <w:snapToGrid w:val="0"/>
              <w:spacing w:line="400" w:lineRule="exact"/>
              <w:jc w:val="center"/>
              <w:rPr>
                <w:rFonts w:hint="eastAsia" w:ascii="方正仿宋_GBK" w:hAnsi="宋体" w:eastAsia="方正仿宋_GBK" w:cs="Times New Roman"/>
                <w:b w:val="0"/>
                <w:bCs/>
                <w:color w:val="auto"/>
                <w:kern w:val="2"/>
                <w:sz w:val="24"/>
                <w:szCs w:val="24"/>
                <w:lang w:val="en-US" w:eastAsia="zh-CN" w:bidi="ar-SA"/>
              </w:rPr>
            </w:pPr>
            <w:r>
              <w:rPr>
                <w:rFonts w:hint="eastAsia" w:ascii="方正仿宋_GBK" w:hAnsi="宋体" w:eastAsia="方正仿宋_GBK" w:cs="Times New Roman"/>
                <w:b w:val="0"/>
                <w:bCs/>
                <w:color w:val="auto"/>
                <w:kern w:val="2"/>
                <w:sz w:val="24"/>
                <w:szCs w:val="24"/>
                <w:lang w:val="en-US" w:eastAsia="zh-CN" w:bidi="ar-SA"/>
              </w:rPr>
              <w:t>配套试剂、耗材</w:t>
            </w:r>
          </w:p>
        </w:tc>
        <w:tc>
          <w:tcPr>
            <w:tcW w:w="870" w:type="dxa"/>
            <w:noWrap w:val="0"/>
            <w:vAlign w:val="center"/>
          </w:tcPr>
          <w:p w14:paraId="124ACB43">
            <w:pPr>
              <w:snapToGrid w:val="0"/>
              <w:spacing w:line="400" w:lineRule="exact"/>
              <w:jc w:val="center"/>
              <w:rPr>
                <w:rFonts w:hint="default" w:ascii="方正仿宋_GBK" w:hAnsi="宋体" w:eastAsia="方正仿宋_GBK" w:cs="Times New Roman"/>
                <w:b w:val="0"/>
                <w:bCs/>
                <w:color w:val="auto"/>
                <w:kern w:val="2"/>
                <w:sz w:val="24"/>
                <w:szCs w:val="24"/>
                <w:lang w:val="en-US" w:eastAsia="zh-CN" w:bidi="ar-SA"/>
              </w:rPr>
            </w:pPr>
            <w:r>
              <w:rPr>
                <w:rFonts w:hint="eastAsia" w:ascii="方正仿宋_GBK" w:hAnsi="宋体" w:eastAsia="方正仿宋_GBK" w:cs="Times New Roman"/>
                <w:b w:val="0"/>
                <w:bCs/>
                <w:color w:val="auto"/>
                <w:kern w:val="2"/>
                <w:sz w:val="24"/>
                <w:szCs w:val="24"/>
                <w:lang w:val="en-US" w:eastAsia="zh-CN" w:bidi="ar-SA"/>
              </w:rPr>
              <w:t>据实</w:t>
            </w:r>
          </w:p>
        </w:tc>
        <w:tc>
          <w:tcPr>
            <w:tcW w:w="765" w:type="dxa"/>
            <w:noWrap w:val="0"/>
            <w:vAlign w:val="center"/>
          </w:tcPr>
          <w:p w14:paraId="0E84945C">
            <w:pPr>
              <w:snapToGrid w:val="0"/>
              <w:spacing w:line="400" w:lineRule="exact"/>
              <w:jc w:val="center"/>
              <w:rPr>
                <w:rFonts w:hint="default" w:ascii="方正仿宋_GBK" w:hAnsi="宋体" w:eastAsia="方正仿宋_GBK" w:cs="Times New Roman"/>
                <w:b w:val="0"/>
                <w:bCs/>
                <w:color w:val="auto"/>
                <w:kern w:val="2"/>
                <w:sz w:val="24"/>
                <w:szCs w:val="24"/>
                <w:lang w:val="en-US" w:eastAsia="zh-CN" w:bidi="ar-SA"/>
              </w:rPr>
            </w:pPr>
            <w:r>
              <w:rPr>
                <w:rFonts w:hint="eastAsia" w:ascii="方正仿宋_GBK" w:hAnsi="宋体" w:eastAsia="方正仿宋_GBK" w:cs="Times New Roman"/>
                <w:b w:val="0"/>
                <w:bCs/>
                <w:color w:val="auto"/>
                <w:kern w:val="2"/>
                <w:sz w:val="24"/>
                <w:szCs w:val="24"/>
                <w:lang w:val="en-US" w:eastAsia="zh-CN" w:bidi="ar-SA"/>
              </w:rPr>
              <w:t>3年服务期</w:t>
            </w:r>
          </w:p>
        </w:tc>
        <w:tc>
          <w:tcPr>
            <w:tcW w:w="1455" w:type="dxa"/>
            <w:noWrap w:val="0"/>
            <w:vAlign w:val="center"/>
          </w:tcPr>
          <w:p w14:paraId="783EA3D7">
            <w:pPr>
              <w:snapToGrid w:val="0"/>
              <w:spacing w:line="400" w:lineRule="exact"/>
              <w:jc w:val="both"/>
              <w:rPr>
                <w:rFonts w:hint="eastAsia" w:ascii="方正仿宋_GBK" w:hAnsi="宋体" w:eastAsia="方正仿宋_GBK" w:cs="Times New Roman"/>
                <w:b w:val="0"/>
                <w:bCs/>
                <w:color w:val="auto"/>
                <w:kern w:val="2"/>
                <w:sz w:val="24"/>
                <w:szCs w:val="24"/>
                <w:lang w:val="en-US" w:eastAsia="zh-CN" w:bidi="ar-SA"/>
              </w:rPr>
            </w:pPr>
            <w:r>
              <w:rPr>
                <w:rFonts w:hint="eastAsia" w:ascii="方正仿宋_GBK" w:hAnsi="宋体" w:eastAsia="方正仿宋_GBK" w:cs="Times New Roman"/>
                <w:b w:val="0"/>
                <w:bCs/>
                <w:color w:val="auto"/>
                <w:kern w:val="2"/>
                <w:sz w:val="24"/>
                <w:szCs w:val="24"/>
                <w:lang w:val="en-US" w:eastAsia="zh-CN" w:bidi="ar-SA"/>
              </w:rPr>
              <w:t>供应商所投试剂、耗材报价需不高于药交所挂网最低价，且不超过二级甲等综合医院该项目收费标准的30%。</w:t>
            </w:r>
          </w:p>
        </w:tc>
        <w:tc>
          <w:tcPr>
            <w:tcW w:w="4579" w:type="dxa"/>
            <w:noWrap w:val="0"/>
            <w:vAlign w:val="center"/>
          </w:tcPr>
          <w:p w14:paraId="592A4D4C">
            <w:pPr>
              <w:pStyle w:val="4"/>
              <w:spacing w:before="0" w:after="0" w:line="400" w:lineRule="exact"/>
              <w:jc w:val="both"/>
              <w:rPr>
                <w:rFonts w:hint="eastAsia" w:ascii="方正仿宋_GBK" w:hAnsi="宋体" w:eastAsia="方正仿宋_GBK" w:cs="Times New Roman"/>
                <w:b w:val="0"/>
                <w:bCs/>
                <w:color w:val="auto"/>
                <w:sz w:val="24"/>
                <w:szCs w:val="24"/>
                <w:lang w:val="en-US" w:eastAsia="zh-CN"/>
              </w:rPr>
            </w:pPr>
            <w:r>
              <w:rPr>
                <w:rFonts w:hint="eastAsia" w:ascii="方正仿宋_GBK" w:hAnsi="宋体" w:eastAsia="方正仿宋_GBK" w:cs="Times New Roman"/>
                <w:b w:val="0"/>
                <w:bCs/>
                <w:color w:val="auto"/>
                <w:sz w:val="24"/>
                <w:szCs w:val="24"/>
                <w:lang w:val="en-US" w:eastAsia="zh-CN"/>
              </w:rPr>
              <w:t>1.供应商根据所投标设备，自行添加其他匹配的试剂，以列表形式添加；</w:t>
            </w:r>
          </w:p>
          <w:p w14:paraId="51515233">
            <w:pPr>
              <w:pStyle w:val="4"/>
              <w:spacing w:before="0" w:after="0" w:line="400" w:lineRule="exact"/>
              <w:jc w:val="both"/>
              <w:rPr>
                <w:rFonts w:hint="eastAsia" w:ascii="方正仿宋_GBK" w:hAnsi="宋体" w:eastAsia="方正仿宋_GBK" w:cs="Times New Roman"/>
                <w:b w:val="0"/>
                <w:bCs/>
                <w:color w:val="auto"/>
                <w:sz w:val="24"/>
                <w:szCs w:val="24"/>
                <w:lang w:val="en-US" w:eastAsia="zh-CN"/>
              </w:rPr>
            </w:pPr>
            <w:r>
              <w:rPr>
                <w:rFonts w:hint="eastAsia" w:ascii="方正仿宋_GBK" w:hAnsi="宋体" w:eastAsia="方正仿宋_GBK" w:cs="Times New Roman"/>
                <w:b w:val="0"/>
                <w:bCs/>
                <w:color w:val="auto"/>
                <w:sz w:val="24"/>
                <w:szCs w:val="24"/>
                <w:lang w:val="en-US" w:eastAsia="zh-CN"/>
              </w:rPr>
              <w:t>2.检验配套试剂按单人份价格进行报价；</w:t>
            </w:r>
          </w:p>
          <w:p w14:paraId="2CA6B58A">
            <w:pPr>
              <w:pStyle w:val="4"/>
              <w:spacing w:before="0" w:after="0" w:line="400" w:lineRule="exact"/>
              <w:jc w:val="both"/>
              <w:rPr>
                <w:rFonts w:hint="eastAsia" w:ascii="方正仿宋_GBK" w:hAnsi="宋体" w:eastAsia="方正仿宋_GBK" w:cs="Times New Roman"/>
                <w:b w:val="0"/>
                <w:bCs/>
                <w:color w:val="auto"/>
                <w:sz w:val="24"/>
                <w:szCs w:val="24"/>
                <w:lang w:val="en-US" w:eastAsia="zh-CN"/>
              </w:rPr>
            </w:pPr>
            <w:r>
              <w:rPr>
                <w:rFonts w:hint="eastAsia" w:ascii="方正仿宋_GBK" w:hAnsi="宋体" w:eastAsia="方正仿宋_GBK" w:cs="Times New Roman"/>
                <w:b w:val="0"/>
                <w:bCs/>
                <w:color w:val="auto"/>
                <w:sz w:val="24"/>
                <w:szCs w:val="24"/>
                <w:lang w:val="en-US" w:eastAsia="zh-CN"/>
              </w:rPr>
              <w:t>3.该项目配套耗材包括开展该项目所需的各种校准品、质控品、清洗液、反应杯，纳入配套试剂中计算，不再支付费用；</w:t>
            </w:r>
          </w:p>
          <w:p w14:paraId="0FDD844B">
            <w:pPr>
              <w:pStyle w:val="4"/>
              <w:spacing w:before="0" w:after="0" w:line="400" w:lineRule="exact"/>
              <w:jc w:val="both"/>
              <w:rPr>
                <w:rFonts w:hint="default"/>
                <w:color w:val="auto"/>
                <w:lang w:val="en-US" w:eastAsia="zh-CN"/>
              </w:rPr>
            </w:pPr>
            <w:r>
              <w:rPr>
                <w:rFonts w:hint="eastAsia" w:ascii="方正仿宋_GBK" w:hAnsi="宋体" w:eastAsia="方正仿宋_GBK" w:cs="Times New Roman"/>
                <w:b w:val="0"/>
                <w:bCs/>
                <w:color w:val="auto"/>
                <w:sz w:val="24"/>
                <w:szCs w:val="24"/>
                <w:lang w:val="en-US" w:eastAsia="zh-CN"/>
              </w:rPr>
              <w:t>4.耗材费用包括运输、配送和保险以及包装等人工和劳务支出，以及供应商利润、税金、政策性文件规定及合同包含的所有风险、责任等一切应有费用，均由供应商承担。</w:t>
            </w:r>
          </w:p>
        </w:tc>
      </w:tr>
    </w:tbl>
    <w:p w14:paraId="1368364E">
      <w:pPr>
        <w:pStyle w:val="26"/>
        <w:numPr>
          <w:ilvl w:val="0"/>
          <w:numId w:val="0"/>
        </w:numPr>
        <w:bidi w:val="0"/>
        <w:ind w:leftChars="200"/>
        <w:rPr>
          <w:rFonts w:hint="eastAsia"/>
          <w:color w:val="auto"/>
          <w:lang w:val="en-US" w:eastAsia="zh-CN"/>
        </w:rPr>
      </w:pPr>
      <w:r>
        <w:rPr>
          <w:rFonts w:hint="eastAsia"/>
          <w:color w:val="auto"/>
          <w:lang w:val="en-US" w:eastAsia="zh-CN"/>
        </w:rPr>
        <w:t>二、</w:t>
      </w:r>
      <w:r>
        <w:rPr>
          <w:rFonts w:hint="default"/>
          <w:color w:val="auto"/>
          <w:lang w:val="en-US" w:eastAsia="zh-CN"/>
        </w:rPr>
        <w:t>项目</w:t>
      </w:r>
      <w:r>
        <w:rPr>
          <w:rFonts w:hint="eastAsia"/>
          <w:color w:val="auto"/>
          <w:lang w:val="en-US" w:eastAsia="zh-CN"/>
        </w:rPr>
        <w:t>技术需求</w:t>
      </w:r>
    </w:p>
    <w:p w14:paraId="034639DC">
      <w:pPr>
        <w:pStyle w:val="25"/>
        <w:bidi w:val="0"/>
        <w:rPr>
          <w:rFonts w:hint="eastAsia"/>
          <w:color w:val="auto"/>
          <w:highlight w:val="none"/>
          <w:lang w:val="en-US" w:eastAsia="zh-CN"/>
        </w:rPr>
      </w:pPr>
      <w:r>
        <w:rPr>
          <w:rFonts w:hint="default"/>
          <w:color w:val="auto"/>
          <w:highlight w:val="none"/>
          <w:lang w:val="en-US" w:eastAsia="zh-CN"/>
        </w:rPr>
        <w:t>说明：“※”标注的技术需求为符合性审查中的实质性要求，若不满足按无效响应处理；“▲”标注的技术需求为重要技术需求，若不满足将按照评标因素中相关规定处理；一般技术需求，若不满足将按照评标因素中相关规定处理。</w:t>
      </w:r>
    </w:p>
    <w:p w14:paraId="0E1F16D2">
      <w:pPr>
        <w:pStyle w:val="25"/>
        <w:bidi w:val="0"/>
        <w:rPr>
          <w:rFonts w:hint="eastAsia"/>
          <w:color w:val="auto"/>
          <w:highlight w:val="none"/>
          <w:lang w:val="en-US" w:eastAsia="zh-CN"/>
        </w:rPr>
      </w:pPr>
      <w:bookmarkStart w:id="10" w:name="_Hlk184505242"/>
      <w:bookmarkStart w:id="11" w:name="_Toc340223142"/>
      <w:r>
        <w:rPr>
          <w:rFonts w:hint="eastAsia"/>
          <w:color w:val="auto"/>
          <w:highlight w:val="none"/>
          <w:lang w:val="en-US" w:eastAsia="zh-CN"/>
        </w:rPr>
        <w:t>（一）血气分析仪的技术需求表和</w:t>
      </w:r>
      <w:bookmarkEnd w:id="10"/>
      <w:r>
        <w:rPr>
          <w:rFonts w:hint="eastAsia"/>
          <w:color w:val="auto"/>
          <w:highlight w:val="none"/>
          <w:lang w:val="en-US" w:eastAsia="zh-CN"/>
        </w:rPr>
        <w:t>配置要求</w:t>
      </w:r>
    </w:p>
    <w:tbl>
      <w:tblPr>
        <w:tblStyle w:val="21"/>
        <w:tblW w:w="93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1104"/>
        <w:gridCol w:w="7500"/>
      </w:tblGrid>
      <w:tr w14:paraId="52CAA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0" w:hRule="atLeast"/>
          <w:jc w:val="center"/>
        </w:trPr>
        <w:tc>
          <w:tcPr>
            <w:tcW w:w="696" w:type="dxa"/>
            <w:vMerge w:val="restart"/>
            <w:tcBorders>
              <w:top w:val="single" w:color="auto" w:sz="4" w:space="0"/>
              <w:left w:val="single" w:color="auto" w:sz="4" w:space="0"/>
              <w:right w:val="single" w:color="auto" w:sz="4" w:space="0"/>
            </w:tcBorders>
            <w:noWrap w:val="0"/>
            <w:vAlign w:val="center"/>
          </w:tcPr>
          <w:p w14:paraId="5384A4F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bookmarkStart w:id="12" w:name="OLE_LINK7"/>
            <w:bookmarkStart w:id="13" w:name="OLE_LINK6"/>
            <w:r>
              <w:rPr>
                <w:rFonts w:hint="eastAsia" w:ascii="方正仿宋_GBK" w:hAnsi="方正仿宋_GBK" w:eastAsia="方正仿宋_GBK" w:cs="方正仿宋_GBK"/>
                <w:color w:val="auto"/>
                <w:spacing w:val="3"/>
                <w:sz w:val="21"/>
                <w:szCs w:val="21"/>
                <w:highlight w:val="none"/>
                <w:lang w:val="en-US" w:eastAsia="zh-CN"/>
              </w:rPr>
              <w:t>技术需求</w:t>
            </w:r>
          </w:p>
        </w:tc>
        <w:tc>
          <w:tcPr>
            <w:tcW w:w="1104" w:type="dxa"/>
            <w:vMerge w:val="restart"/>
            <w:tcBorders>
              <w:top w:val="single" w:color="auto" w:sz="4" w:space="0"/>
              <w:left w:val="single" w:color="auto" w:sz="4" w:space="0"/>
              <w:right w:val="single" w:color="auto" w:sz="4" w:space="0"/>
            </w:tcBorders>
            <w:noWrap w:val="0"/>
            <w:vAlign w:val="center"/>
          </w:tcPr>
          <w:p w14:paraId="1B7C437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重要技术需求</w:t>
            </w:r>
          </w:p>
        </w:tc>
        <w:tc>
          <w:tcPr>
            <w:tcW w:w="7500" w:type="dxa"/>
            <w:tcBorders>
              <w:top w:val="single" w:color="auto" w:sz="4" w:space="0"/>
              <w:left w:val="single" w:color="auto" w:sz="4" w:space="0"/>
              <w:bottom w:val="single" w:color="auto" w:sz="4" w:space="0"/>
              <w:right w:val="single" w:color="auto" w:sz="4" w:space="0"/>
            </w:tcBorders>
            <w:noWrap w:val="0"/>
            <w:vAlign w:val="center"/>
          </w:tcPr>
          <w:p w14:paraId="695895C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default" w:ascii="方正仿宋_GBK" w:hAnsi="方正仿宋_GBK" w:eastAsia="方正仿宋_GBK" w:cs="方正仿宋_GBK"/>
                <w:color w:val="auto"/>
                <w:spacing w:val="3"/>
                <w:sz w:val="21"/>
                <w:szCs w:val="21"/>
                <w:highlight w:val="none"/>
                <w:lang w:val="en-US" w:eastAsia="zh-CN"/>
              </w:rPr>
              <w:t>※</w:t>
            </w:r>
            <w:r>
              <w:rPr>
                <w:rFonts w:hint="eastAsia" w:ascii="方正仿宋_GBK" w:hAnsi="方正仿宋_GBK" w:eastAsia="方正仿宋_GBK" w:cs="方正仿宋_GBK"/>
                <w:color w:val="auto"/>
                <w:spacing w:val="3"/>
                <w:sz w:val="21"/>
                <w:szCs w:val="21"/>
                <w:highlight w:val="none"/>
                <w:lang w:val="en-US" w:eastAsia="zh-CN"/>
              </w:rPr>
              <w:t>1、检测项目：pH、PCO2、PO2、Na+、K+、CL-、Ca2+、Glu、Lac、Hct；</w:t>
            </w:r>
          </w:p>
        </w:tc>
      </w:tr>
      <w:tr w14:paraId="40076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96" w:type="dxa"/>
            <w:vMerge w:val="continue"/>
            <w:tcBorders>
              <w:left w:val="single" w:color="auto" w:sz="4" w:space="0"/>
              <w:right w:val="single" w:color="auto" w:sz="4" w:space="0"/>
            </w:tcBorders>
            <w:noWrap w:val="0"/>
            <w:vAlign w:val="center"/>
          </w:tcPr>
          <w:p w14:paraId="6842D1E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1104" w:type="dxa"/>
            <w:vMerge w:val="continue"/>
            <w:tcBorders>
              <w:left w:val="single" w:color="auto" w:sz="4" w:space="0"/>
              <w:right w:val="single" w:color="auto" w:sz="4" w:space="0"/>
            </w:tcBorders>
            <w:noWrap w:val="0"/>
            <w:vAlign w:val="center"/>
          </w:tcPr>
          <w:p w14:paraId="45D7E9A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7500" w:type="dxa"/>
            <w:tcBorders>
              <w:top w:val="single" w:color="auto" w:sz="4" w:space="0"/>
              <w:left w:val="single" w:color="auto" w:sz="4" w:space="0"/>
              <w:bottom w:val="single" w:color="auto" w:sz="4" w:space="0"/>
              <w:right w:val="single" w:color="auto" w:sz="4" w:space="0"/>
            </w:tcBorders>
            <w:noWrap w:val="0"/>
            <w:vAlign w:val="center"/>
          </w:tcPr>
          <w:p w14:paraId="49A72DD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▲1.试剂效期：出厂效期≥180天，上机效期≥30天；</w:t>
            </w:r>
          </w:p>
        </w:tc>
      </w:tr>
      <w:tr w14:paraId="329C6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96" w:type="dxa"/>
            <w:vMerge w:val="continue"/>
            <w:tcBorders>
              <w:left w:val="single" w:color="auto" w:sz="4" w:space="0"/>
              <w:right w:val="single" w:color="auto" w:sz="4" w:space="0"/>
            </w:tcBorders>
            <w:noWrap w:val="0"/>
            <w:vAlign w:val="center"/>
          </w:tcPr>
          <w:p w14:paraId="396CD10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1104" w:type="dxa"/>
            <w:vMerge w:val="continue"/>
            <w:tcBorders>
              <w:left w:val="single" w:color="auto" w:sz="4" w:space="0"/>
              <w:right w:val="single" w:color="auto" w:sz="4" w:space="0"/>
            </w:tcBorders>
            <w:noWrap w:val="0"/>
            <w:vAlign w:val="center"/>
          </w:tcPr>
          <w:p w14:paraId="1FADC50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7500" w:type="dxa"/>
            <w:tcBorders>
              <w:top w:val="single" w:color="auto" w:sz="4" w:space="0"/>
              <w:left w:val="single" w:color="auto" w:sz="4" w:space="0"/>
              <w:bottom w:val="single" w:color="auto" w:sz="4" w:space="0"/>
              <w:right w:val="single" w:color="auto" w:sz="4" w:space="0"/>
            </w:tcBorders>
            <w:noWrap w:val="0"/>
            <w:vAlign w:val="center"/>
          </w:tcPr>
          <w:p w14:paraId="3C0456A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▲2.质控：具备自动质控（提供对应试剂注册证复印件）和手动质控功能（提供仪器、试剂同品牌的高中低三水平液体血气质控品注册证及说明书复印件）；</w:t>
            </w:r>
          </w:p>
        </w:tc>
      </w:tr>
      <w:tr w14:paraId="32BBB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96" w:type="dxa"/>
            <w:vMerge w:val="continue"/>
            <w:tcBorders>
              <w:left w:val="single" w:color="auto" w:sz="4" w:space="0"/>
              <w:right w:val="single" w:color="auto" w:sz="4" w:space="0"/>
            </w:tcBorders>
            <w:noWrap w:val="0"/>
            <w:vAlign w:val="center"/>
          </w:tcPr>
          <w:p w14:paraId="5A8B9E5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1104" w:type="dxa"/>
            <w:vMerge w:val="continue"/>
            <w:tcBorders>
              <w:left w:val="single" w:color="auto" w:sz="4" w:space="0"/>
              <w:right w:val="single" w:color="auto" w:sz="4" w:space="0"/>
            </w:tcBorders>
            <w:noWrap w:val="0"/>
            <w:vAlign w:val="center"/>
          </w:tcPr>
          <w:p w14:paraId="386242F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7500" w:type="dxa"/>
            <w:tcBorders>
              <w:top w:val="single" w:color="auto" w:sz="4" w:space="0"/>
              <w:left w:val="single" w:color="auto" w:sz="4" w:space="0"/>
              <w:bottom w:val="single" w:color="auto" w:sz="4" w:space="0"/>
              <w:right w:val="single" w:color="auto" w:sz="4" w:space="0"/>
            </w:tcBorders>
            <w:noWrap w:val="0"/>
            <w:vAlign w:val="center"/>
          </w:tcPr>
          <w:p w14:paraId="7790362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▲3.计算参数：至少包含pH(TC)、PCO2(TC)、PO2(TC)、HCO3、SBC、BE、BEecf、TCO2、sO2%、AG、pO2（A-a）、Rl、TCa、nCa、THb(c)；</w:t>
            </w:r>
          </w:p>
        </w:tc>
      </w:tr>
      <w:bookmarkEnd w:id="12"/>
      <w:bookmarkEnd w:id="13"/>
      <w:tr w14:paraId="790FC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jc w:val="center"/>
        </w:trPr>
        <w:tc>
          <w:tcPr>
            <w:tcW w:w="696" w:type="dxa"/>
            <w:vMerge w:val="continue"/>
            <w:tcBorders>
              <w:left w:val="single" w:color="auto" w:sz="4" w:space="0"/>
              <w:right w:val="single" w:color="auto" w:sz="4" w:space="0"/>
            </w:tcBorders>
            <w:noWrap w:val="0"/>
            <w:vAlign w:val="center"/>
          </w:tcPr>
          <w:p w14:paraId="7E53F2C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1104" w:type="dxa"/>
            <w:vMerge w:val="restart"/>
            <w:tcBorders>
              <w:top w:val="single" w:color="auto" w:sz="4" w:space="0"/>
              <w:left w:val="single" w:color="auto" w:sz="4" w:space="0"/>
              <w:right w:val="single" w:color="auto" w:sz="4" w:space="0"/>
            </w:tcBorders>
            <w:noWrap w:val="0"/>
            <w:vAlign w:val="center"/>
          </w:tcPr>
          <w:p w14:paraId="6117347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一般技术需求</w:t>
            </w:r>
          </w:p>
        </w:tc>
        <w:tc>
          <w:tcPr>
            <w:tcW w:w="7500" w:type="dxa"/>
            <w:tcBorders>
              <w:top w:val="single" w:color="auto" w:sz="4" w:space="0"/>
              <w:left w:val="single" w:color="auto" w:sz="4" w:space="0"/>
              <w:bottom w:val="single" w:color="auto" w:sz="4" w:space="0"/>
              <w:right w:val="single" w:color="auto" w:sz="4" w:space="0"/>
            </w:tcBorders>
            <w:noWrap w:val="0"/>
            <w:vAlign w:val="center"/>
          </w:tcPr>
          <w:p w14:paraId="151BFB8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1.操作界面≥10寸TFT全中文彩色液晶触摸屏；</w:t>
            </w:r>
          </w:p>
        </w:tc>
      </w:tr>
      <w:tr w14:paraId="26007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96" w:type="dxa"/>
            <w:vMerge w:val="continue"/>
            <w:tcBorders>
              <w:left w:val="single" w:color="auto" w:sz="4" w:space="0"/>
              <w:right w:val="single" w:color="auto" w:sz="4" w:space="0"/>
            </w:tcBorders>
            <w:noWrap w:val="0"/>
            <w:vAlign w:val="center"/>
          </w:tcPr>
          <w:p w14:paraId="0E24315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1104" w:type="dxa"/>
            <w:vMerge w:val="continue"/>
            <w:tcBorders>
              <w:left w:val="single" w:color="auto" w:sz="4" w:space="0"/>
              <w:right w:val="single" w:color="auto" w:sz="4" w:space="0"/>
            </w:tcBorders>
            <w:noWrap w:val="0"/>
            <w:vAlign w:val="center"/>
          </w:tcPr>
          <w:p w14:paraId="410A375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7500" w:type="dxa"/>
            <w:tcBorders>
              <w:top w:val="single" w:color="auto" w:sz="4" w:space="0"/>
              <w:left w:val="single" w:color="auto" w:sz="4" w:space="0"/>
              <w:bottom w:val="single" w:color="auto" w:sz="4" w:space="0"/>
              <w:right w:val="single" w:color="auto" w:sz="4" w:space="0"/>
            </w:tcBorders>
            <w:noWrap w:val="0"/>
            <w:vAlign w:val="center"/>
          </w:tcPr>
          <w:p w14:paraId="2014B89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2.室间质评分组：在国家卫生健康委临床检验中心和重庆市临检中心有独立分组，（提供所投血气分析仪型号证明材料）；</w:t>
            </w:r>
          </w:p>
        </w:tc>
      </w:tr>
      <w:tr w14:paraId="1F36B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2" w:hRule="atLeast"/>
          <w:jc w:val="center"/>
        </w:trPr>
        <w:tc>
          <w:tcPr>
            <w:tcW w:w="696" w:type="dxa"/>
            <w:vMerge w:val="continue"/>
            <w:tcBorders>
              <w:left w:val="single" w:color="auto" w:sz="4" w:space="0"/>
              <w:right w:val="single" w:color="auto" w:sz="4" w:space="0"/>
            </w:tcBorders>
            <w:noWrap w:val="0"/>
            <w:vAlign w:val="center"/>
          </w:tcPr>
          <w:p w14:paraId="339589F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1104" w:type="dxa"/>
            <w:vMerge w:val="continue"/>
            <w:tcBorders>
              <w:left w:val="single" w:color="auto" w:sz="4" w:space="0"/>
              <w:right w:val="single" w:color="auto" w:sz="4" w:space="0"/>
            </w:tcBorders>
            <w:noWrap w:val="0"/>
            <w:vAlign w:val="center"/>
          </w:tcPr>
          <w:p w14:paraId="67CF5FF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7500" w:type="dxa"/>
            <w:tcBorders>
              <w:top w:val="single" w:color="auto" w:sz="4" w:space="0"/>
              <w:left w:val="single" w:color="auto" w:sz="4" w:space="0"/>
              <w:bottom w:val="single" w:color="auto" w:sz="4" w:space="0"/>
              <w:right w:val="single" w:color="auto" w:sz="4" w:space="0"/>
            </w:tcBorders>
            <w:noWrap w:val="0"/>
            <w:vAlign w:val="center"/>
          </w:tcPr>
          <w:p w14:paraId="1CE3350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3.检测方式：电极法；</w:t>
            </w:r>
          </w:p>
        </w:tc>
      </w:tr>
      <w:tr w14:paraId="2C05F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2" w:hRule="atLeast"/>
          <w:jc w:val="center"/>
        </w:trPr>
        <w:tc>
          <w:tcPr>
            <w:tcW w:w="696" w:type="dxa"/>
            <w:vMerge w:val="continue"/>
            <w:tcBorders>
              <w:left w:val="single" w:color="auto" w:sz="4" w:space="0"/>
              <w:right w:val="single" w:color="auto" w:sz="4" w:space="0"/>
            </w:tcBorders>
            <w:noWrap w:val="0"/>
            <w:vAlign w:val="center"/>
          </w:tcPr>
          <w:p w14:paraId="0F5FC64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1104" w:type="dxa"/>
            <w:vMerge w:val="continue"/>
            <w:tcBorders>
              <w:left w:val="single" w:color="auto" w:sz="4" w:space="0"/>
              <w:right w:val="single" w:color="auto" w:sz="4" w:space="0"/>
            </w:tcBorders>
            <w:noWrap w:val="0"/>
            <w:vAlign w:val="center"/>
          </w:tcPr>
          <w:p w14:paraId="22AB4D2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7500" w:type="dxa"/>
            <w:tcBorders>
              <w:top w:val="single" w:color="auto" w:sz="4" w:space="0"/>
              <w:left w:val="single" w:color="auto" w:sz="4" w:space="0"/>
              <w:bottom w:val="single" w:color="auto" w:sz="4" w:space="0"/>
              <w:right w:val="single" w:color="auto" w:sz="4" w:space="0"/>
            </w:tcBorders>
            <w:noWrap w:val="0"/>
            <w:vAlign w:val="center"/>
          </w:tcPr>
          <w:p w14:paraId="6E233DB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4.样本量：全参数用血量≤120uL；</w:t>
            </w:r>
          </w:p>
        </w:tc>
      </w:tr>
      <w:tr w14:paraId="17684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2" w:hRule="atLeast"/>
          <w:jc w:val="center"/>
        </w:trPr>
        <w:tc>
          <w:tcPr>
            <w:tcW w:w="696" w:type="dxa"/>
            <w:vMerge w:val="continue"/>
            <w:tcBorders>
              <w:left w:val="single" w:color="auto" w:sz="4" w:space="0"/>
              <w:right w:val="single" w:color="auto" w:sz="4" w:space="0"/>
            </w:tcBorders>
            <w:noWrap w:val="0"/>
            <w:vAlign w:val="center"/>
          </w:tcPr>
          <w:p w14:paraId="67339B7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1104" w:type="dxa"/>
            <w:vMerge w:val="continue"/>
            <w:tcBorders>
              <w:left w:val="single" w:color="auto" w:sz="4" w:space="0"/>
              <w:right w:val="single" w:color="auto" w:sz="4" w:space="0"/>
            </w:tcBorders>
            <w:noWrap w:val="0"/>
            <w:vAlign w:val="center"/>
          </w:tcPr>
          <w:p w14:paraId="51E1A24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7500" w:type="dxa"/>
            <w:tcBorders>
              <w:top w:val="single" w:color="auto" w:sz="4" w:space="0"/>
              <w:left w:val="single" w:color="auto" w:sz="4" w:space="0"/>
              <w:bottom w:val="single" w:color="auto" w:sz="4" w:space="0"/>
              <w:right w:val="single" w:color="auto" w:sz="4" w:space="0"/>
            </w:tcBorders>
            <w:noWrap w:val="0"/>
            <w:vAlign w:val="center"/>
          </w:tcPr>
          <w:p w14:paraId="413CC20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5.样本类型：动脉血、静脉血和毛细血管血；</w:t>
            </w:r>
          </w:p>
        </w:tc>
      </w:tr>
      <w:tr w14:paraId="2F828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7" w:hRule="atLeast"/>
          <w:jc w:val="center"/>
        </w:trPr>
        <w:tc>
          <w:tcPr>
            <w:tcW w:w="696" w:type="dxa"/>
            <w:vMerge w:val="continue"/>
            <w:tcBorders>
              <w:left w:val="single" w:color="auto" w:sz="4" w:space="0"/>
              <w:right w:val="single" w:color="auto" w:sz="4" w:space="0"/>
            </w:tcBorders>
            <w:noWrap w:val="0"/>
            <w:vAlign w:val="center"/>
          </w:tcPr>
          <w:p w14:paraId="3288119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1104" w:type="dxa"/>
            <w:vMerge w:val="continue"/>
            <w:tcBorders>
              <w:left w:val="single" w:color="auto" w:sz="4" w:space="0"/>
              <w:right w:val="single" w:color="auto" w:sz="4" w:space="0"/>
            </w:tcBorders>
            <w:noWrap w:val="0"/>
            <w:vAlign w:val="center"/>
          </w:tcPr>
          <w:p w14:paraId="059D54B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7500" w:type="dxa"/>
            <w:tcBorders>
              <w:top w:val="single" w:color="auto" w:sz="4" w:space="0"/>
              <w:left w:val="single" w:color="auto" w:sz="4" w:space="0"/>
              <w:bottom w:val="single" w:color="auto" w:sz="4" w:space="0"/>
              <w:right w:val="single" w:color="auto" w:sz="4" w:space="0"/>
            </w:tcBorders>
            <w:noWrap w:val="0"/>
            <w:vAlign w:val="center"/>
          </w:tcPr>
          <w:p w14:paraId="7D943A6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6.进样器：毛细血管、动脉采血器、试管、采样针（血气针）、注射器等进样，至少满足上述五种中的三种；</w:t>
            </w:r>
          </w:p>
        </w:tc>
      </w:tr>
      <w:tr w14:paraId="0CB50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7" w:hRule="atLeast"/>
          <w:jc w:val="center"/>
        </w:trPr>
        <w:tc>
          <w:tcPr>
            <w:tcW w:w="696" w:type="dxa"/>
            <w:vMerge w:val="continue"/>
            <w:tcBorders>
              <w:left w:val="single" w:color="auto" w:sz="4" w:space="0"/>
              <w:right w:val="single" w:color="auto" w:sz="4" w:space="0"/>
            </w:tcBorders>
            <w:noWrap w:val="0"/>
            <w:vAlign w:val="center"/>
          </w:tcPr>
          <w:p w14:paraId="5E9A0B1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1104" w:type="dxa"/>
            <w:vMerge w:val="continue"/>
            <w:tcBorders>
              <w:left w:val="single" w:color="auto" w:sz="4" w:space="0"/>
              <w:right w:val="single" w:color="auto" w:sz="4" w:space="0"/>
            </w:tcBorders>
            <w:noWrap w:val="0"/>
            <w:vAlign w:val="center"/>
          </w:tcPr>
          <w:p w14:paraId="0758901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7500" w:type="dxa"/>
            <w:tcBorders>
              <w:top w:val="single" w:color="auto" w:sz="4" w:space="0"/>
              <w:left w:val="single" w:color="auto" w:sz="4" w:space="0"/>
              <w:bottom w:val="single" w:color="auto" w:sz="4" w:space="0"/>
              <w:right w:val="single" w:color="auto" w:sz="4" w:space="0"/>
            </w:tcBorders>
            <w:noWrap w:val="0"/>
            <w:vAlign w:val="center"/>
          </w:tcPr>
          <w:p w14:paraId="2EA53AD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7.进样方式：进样针自动抬起进样，能检测并排除小气泡和微血凝块；</w:t>
            </w:r>
          </w:p>
        </w:tc>
      </w:tr>
      <w:tr w14:paraId="27B8E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7" w:hRule="atLeast"/>
          <w:jc w:val="center"/>
        </w:trPr>
        <w:tc>
          <w:tcPr>
            <w:tcW w:w="696" w:type="dxa"/>
            <w:vMerge w:val="continue"/>
            <w:tcBorders>
              <w:left w:val="single" w:color="auto" w:sz="4" w:space="0"/>
              <w:right w:val="single" w:color="auto" w:sz="4" w:space="0"/>
            </w:tcBorders>
            <w:noWrap w:val="0"/>
            <w:vAlign w:val="center"/>
          </w:tcPr>
          <w:p w14:paraId="6AB4D6B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1104" w:type="dxa"/>
            <w:vMerge w:val="continue"/>
            <w:tcBorders>
              <w:left w:val="single" w:color="auto" w:sz="4" w:space="0"/>
              <w:right w:val="single" w:color="auto" w:sz="4" w:space="0"/>
            </w:tcBorders>
            <w:noWrap w:val="0"/>
            <w:vAlign w:val="center"/>
          </w:tcPr>
          <w:p w14:paraId="777D0BB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p>
        </w:tc>
        <w:tc>
          <w:tcPr>
            <w:tcW w:w="7500" w:type="dxa"/>
            <w:tcBorders>
              <w:top w:val="single" w:color="auto" w:sz="4" w:space="0"/>
              <w:left w:val="single" w:color="auto" w:sz="4" w:space="0"/>
              <w:bottom w:val="single" w:color="auto" w:sz="4" w:space="0"/>
              <w:right w:val="single" w:color="auto" w:sz="4" w:space="0"/>
            </w:tcBorders>
            <w:noWrap w:val="0"/>
            <w:vAlign w:val="center"/>
          </w:tcPr>
          <w:p w14:paraId="2CDBD0A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8.试剂包规格：至少5种规格可选</w:t>
            </w:r>
          </w:p>
        </w:tc>
      </w:tr>
      <w:tr w14:paraId="1A7BF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1800" w:type="dxa"/>
            <w:gridSpan w:val="2"/>
            <w:tcBorders>
              <w:top w:val="single" w:color="auto" w:sz="4" w:space="0"/>
              <w:left w:val="single" w:color="auto" w:sz="4" w:space="0"/>
              <w:right w:val="single" w:color="auto" w:sz="4" w:space="0"/>
            </w:tcBorders>
            <w:noWrap w:val="0"/>
            <w:vAlign w:val="center"/>
          </w:tcPr>
          <w:p w14:paraId="20BA4F6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※基本配置清单</w:t>
            </w:r>
          </w:p>
        </w:tc>
        <w:tc>
          <w:tcPr>
            <w:tcW w:w="7500" w:type="dxa"/>
            <w:tcBorders>
              <w:top w:val="single" w:color="auto" w:sz="4" w:space="0"/>
              <w:left w:val="single" w:color="auto" w:sz="4" w:space="0"/>
              <w:bottom w:val="single" w:color="auto" w:sz="4" w:space="0"/>
              <w:right w:val="single" w:color="auto" w:sz="4" w:space="0"/>
            </w:tcBorders>
            <w:noWrap w:val="0"/>
            <w:vAlign w:val="center"/>
          </w:tcPr>
          <w:p w14:paraId="5C828F6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rPr>
                <w:rFonts w:hint="default"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1台套，配置血气分析仪主机1台、电源和说明书1台、打印机1台</w:t>
            </w:r>
          </w:p>
        </w:tc>
      </w:tr>
    </w:tbl>
    <w:p w14:paraId="6B1DD99F">
      <w:pPr>
        <w:pStyle w:val="26"/>
        <w:numPr>
          <w:ilvl w:val="0"/>
          <w:numId w:val="0"/>
        </w:numPr>
        <w:bidi w:val="0"/>
        <w:ind w:leftChars="200"/>
        <w:rPr>
          <w:rFonts w:hint="eastAsia"/>
          <w:color w:val="auto"/>
          <w:lang w:val="en-US" w:eastAsia="zh-CN"/>
        </w:rPr>
      </w:pPr>
      <w:bookmarkStart w:id="14" w:name="_Toc14177"/>
      <w:r>
        <w:rPr>
          <w:rFonts w:hint="eastAsia"/>
          <w:color w:val="auto"/>
          <w:lang w:val="en-US" w:eastAsia="zh-CN"/>
        </w:rPr>
        <w:t>※三、耗材/试剂需求一览表</w:t>
      </w:r>
      <w:bookmarkEnd w:id="14"/>
    </w:p>
    <w:tbl>
      <w:tblPr>
        <w:tblStyle w:val="21"/>
        <w:tblW w:w="97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0"/>
        <w:gridCol w:w="2491"/>
        <w:gridCol w:w="1949"/>
        <w:gridCol w:w="4555"/>
      </w:tblGrid>
      <w:tr w14:paraId="00F13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759FB8E1">
            <w:pPr>
              <w:snapToGrid w:val="0"/>
              <w:spacing w:line="276" w:lineRule="auto"/>
              <w:jc w:val="center"/>
              <w:rPr>
                <w:rStyle w:val="34"/>
                <w:rFonts w:hint="default" w:ascii="方正仿宋_GBK" w:hAnsi="方正仿宋_GBK" w:eastAsia="方正仿宋_GBK" w:cs="方正仿宋_GBK"/>
                <w:b/>
                <w:color w:val="auto"/>
                <w:sz w:val="24"/>
                <w:szCs w:val="24"/>
                <w:highlight w:val="none"/>
                <w:lang w:val="en-US" w:eastAsia="zh-CN"/>
              </w:rPr>
            </w:pPr>
            <w:r>
              <w:rPr>
                <w:rStyle w:val="34"/>
                <w:rFonts w:hint="eastAsia" w:ascii="方正仿宋_GBK" w:hAnsi="方正仿宋_GBK" w:eastAsia="方正仿宋_GBK" w:cs="方正仿宋_GBK"/>
                <w:b/>
                <w:color w:val="auto"/>
                <w:sz w:val="24"/>
                <w:szCs w:val="24"/>
                <w:highlight w:val="none"/>
                <w:lang w:val="en-US" w:eastAsia="zh-CN"/>
              </w:rPr>
              <w:t>序号</w:t>
            </w:r>
          </w:p>
        </w:tc>
        <w:tc>
          <w:tcPr>
            <w:tcW w:w="2491" w:type="dxa"/>
            <w:tcBorders>
              <w:top w:val="single" w:color="000000" w:sz="4" w:space="0"/>
              <w:left w:val="single" w:color="auto" w:sz="4" w:space="0"/>
              <w:bottom w:val="single" w:color="000000" w:sz="4" w:space="0"/>
              <w:right w:val="single" w:color="000000" w:sz="4" w:space="0"/>
            </w:tcBorders>
            <w:noWrap w:val="0"/>
            <w:vAlign w:val="center"/>
          </w:tcPr>
          <w:p w14:paraId="5248329D">
            <w:pPr>
              <w:pStyle w:val="14"/>
              <w:spacing w:line="240" w:lineRule="atLeast"/>
              <w:ind w:left="0" w:leftChars="0"/>
              <w:jc w:val="center"/>
              <w:outlineLvl w:val="9"/>
              <w:rPr>
                <w:rStyle w:val="34"/>
                <w:rFonts w:hint="eastAsia" w:ascii="方正仿宋_GBK" w:hAnsi="方正仿宋_GBK" w:eastAsia="方正仿宋_GBK" w:cs="方正仿宋_GBK"/>
                <w:b/>
                <w:color w:val="auto"/>
                <w:sz w:val="24"/>
                <w:szCs w:val="24"/>
                <w:highlight w:val="none"/>
                <w:lang w:val="en-US" w:eastAsia="zh-CN"/>
              </w:rPr>
            </w:pPr>
            <w:r>
              <w:rPr>
                <w:rStyle w:val="34"/>
                <w:rFonts w:hint="eastAsia" w:ascii="仿宋" w:hAnsi="仿宋" w:eastAsia="仿宋" w:cs="仿宋"/>
                <w:b/>
                <w:color w:val="auto"/>
                <w:sz w:val="24"/>
                <w:szCs w:val="24"/>
                <w:highlight w:val="none"/>
              </w:rPr>
              <w:t>产品名称（设备名称）</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259F8BA9">
            <w:pPr>
              <w:pStyle w:val="14"/>
              <w:spacing w:line="240" w:lineRule="atLeast"/>
              <w:ind w:left="0" w:leftChars="0"/>
              <w:jc w:val="center"/>
              <w:outlineLvl w:val="9"/>
              <w:rPr>
                <w:rStyle w:val="34"/>
                <w:rFonts w:hint="default" w:ascii="方正仿宋_GBK" w:hAnsi="方正仿宋_GBK" w:eastAsia="方正仿宋_GBK" w:cs="方正仿宋_GBK"/>
                <w:b/>
                <w:color w:val="auto"/>
                <w:sz w:val="24"/>
                <w:szCs w:val="24"/>
                <w:highlight w:val="none"/>
                <w:lang w:val="en-US" w:eastAsia="zh-CN"/>
              </w:rPr>
            </w:pPr>
            <w:r>
              <w:rPr>
                <w:rStyle w:val="34"/>
                <w:rFonts w:hint="eastAsia" w:ascii="方正仿宋_GBK" w:hAnsi="方正仿宋_GBK" w:eastAsia="方正仿宋_GBK" w:cs="方正仿宋_GBK"/>
                <w:b/>
                <w:color w:val="auto"/>
                <w:sz w:val="24"/>
                <w:szCs w:val="24"/>
                <w:highlight w:val="none"/>
                <w:lang w:val="en-US" w:eastAsia="zh-CN"/>
              </w:rPr>
              <w:t>耗材/试剂名称</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3CA01BB9">
            <w:pPr>
              <w:pStyle w:val="14"/>
              <w:spacing w:line="240" w:lineRule="atLeast"/>
              <w:ind w:left="0" w:leftChars="0"/>
              <w:jc w:val="center"/>
              <w:outlineLvl w:val="9"/>
              <w:rPr>
                <w:rStyle w:val="34"/>
                <w:rFonts w:hint="default" w:ascii="方正仿宋_GBK" w:hAnsi="方正仿宋_GBK" w:eastAsia="方正仿宋_GBK" w:cs="方正仿宋_GBK"/>
                <w:b/>
                <w:color w:val="auto"/>
                <w:sz w:val="24"/>
                <w:szCs w:val="24"/>
                <w:highlight w:val="none"/>
                <w:lang w:val="en-US" w:eastAsia="zh-CN"/>
              </w:rPr>
            </w:pPr>
            <w:r>
              <w:rPr>
                <w:rStyle w:val="34"/>
                <w:rFonts w:hint="eastAsia" w:ascii="方正仿宋_GBK" w:hAnsi="方正仿宋_GBK" w:eastAsia="方正仿宋_GBK" w:cs="方正仿宋_GBK"/>
                <w:b/>
                <w:color w:val="auto"/>
                <w:sz w:val="24"/>
                <w:szCs w:val="24"/>
                <w:highlight w:val="none"/>
                <w:lang w:val="en-US" w:eastAsia="zh-CN"/>
              </w:rPr>
              <w:t>用途</w:t>
            </w:r>
          </w:p>
        </w:tc>
      </w:tr>
      <w:tr w14:paraId="49527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790" w:type="dxa"/>
            <w:tcBorders>
              <w:top w:val="single" w:color="000000" w:sz="4" w:space="0"/>
              <w:left w:val="single" w:color="000000" w:sz="4" w:space="0"/>
              <w:right w:val="single" w:color="000000" w:sz="4" w:space="0"/>
            </w:tcBorders>
            <w:noWrap w:val="0"/>
            <w:vAlign w:val="center"/>
          </w:tcPr>
          <w:p w14:paraId="64C494BC">
            <w:pPr>
              <w:pStyle w:val="25"/>
              <w:bidi w:val="0"/>
              <w:ind w:left="0" w:leftChars="0" w:firstLine="0" w:firstLineChars="0"/>
              <w:jc w:val="center"/>
              <w:rPr>
                <w:rFonts w:hint="default"/>
                <w:color w:val="auto"/>
                <w:highlight w:val="none"/>
                <w:lang w:val="en-US" w:eastAsia="zh-CN"/>
              </w:rPr>
            </w:pPr>
            <w:r>
              <w:rPr>
                <w:rFonts w:hint="eastAsia"/>
                <w:color w:val="auto"/>
                <w:highlight w:val="none"/>
                <w:lang w:val="en-US" w:eastAsia="zh-CN"/>
              </w:rPr>
              <w:t>1</w:t>
            </w:r>
          </w:p>
        </w:tc>
        <w:tc>
          <w:tcPr>
            <w:tcW w:w="2491" w:type="dxa"/>
            <w:tcBorders>
              <w:top w:val="single" w:color="000000" w:sz="4" w:space="0"/>
              <w:left w:val="single" w:color="auto" w:sz="4" w:space="0"/>
              <w:bottom w:val="single" w:color="000000" w:sz="4" w:space="0"/>
              <w:right w:val="single" w:color="000000" w:sz="4" w:space="0"/>
            </w:tcBorders>
            <w:noWrap w:val="0"/>
            <w:vAlign w:val="center"/>
          </w:tcPr>
          <w:p w14:paraId="09D7C8FA">
            <w:pPr>
              <w:pStyle w:val="25"/>
              <w:bidi w:val="0"/>
              <w:rPr>
                <w:rFonts w:hint="eastAsia"/>
                <w:color w:val="auto"/>
                <w:highlight w:val="none"/>
                <w:lang w:val="en-US" w:eastAsia="zh-CN"/>
              </w:rPr>
            </w:pPr>
            <w:r>
              <w:rPr>
                <w:rFonts w:hint="eastAsia"/>
                <w:color w:val="auto"/>
                <w:highlight w:val="none"/>
                <w:lang w:val="en-US" w:eastAsia="zh-CN"/>
              </w:rPr>
              <w:t>血气分析仪</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1DF12D45">
            <w:pPr>
              <w:pStyle w:val="25"/>
              <w:bidi w:val="0"/>
              <w:ind w:left="0" w:leftChars="0" w:firstLine="0" w:firstLineChars="0"/>
              <w:rPr>
                <w:rFonts w:hint="eastAsia"/>
                <w:color w:val="auto"/>
                <w:highlight w:val="none"/>
                <w:lang w:val="en-US" w:eastAsia="zh-CN"/>
              </w:rPr>
            </w:pPr>
            <w:r>
              <w:rPr>
                <w:rFonts w:hint="eastAsia"/>
                <w:color w:val="auto"/>
                <w:highlight w:val="none"/>
                <w:lang w:val="en-US" w:eastAsia="zh-CN"/>
              </w:rPr>
              <w:t>血气试剂盒（包含电极、清洗液）</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67293AFC">
            <w:pPr>
              <w:pStyle w:val="25"/>
              <w:bidi w:val="0"/>
              <w:ind w:left="0" w:leftChars="0" w:firstLine="0" w:firstLineChars="0"/>
              <w:rPr>
                <w:rFonts w:hint="eastAsia"/>
                <w:color w:val="auto"/>
                <w:highlight w:val="none"/>
                <w:lang w:val="en-US" w:eastAsia="zh-CN"/>
              </w:rPr>
            </w:pPr>
            <w:r>
              <w:rPr>
                <w:rFonts w:hint="eastAsia"/>
                <w:color w:val="auto"/>
                <w:highlight w:val="none"/>
                <w:lang w:val="en-US" w:eastAsia="zh-CN"/>
              </w:rPr>
              <w:t>用于体外定量检测人体全血中的酸碱度、气体、电解质及代谢物等多个项目的含量</w:t>
            </w:r>
          </w:p>
        </w:tc>
      </w:tr>
    </w:tbl>
    <w:p w14:paraId="5BE017A6">
      <w:pPr>
        <w:pStyle w:val="25"/>
        <w:bidi w:val="0"/>
        <w:rPr>
          <w:rFonts w:hint="eastAsia"/>
          <w:color w:val="auto"/>
          <w:highlight w:val="none"/>
          <w:lang w:val="en-US" w:eastAsia="zh-CN"/>
        </w:rPr>
      </w:pPr>
      <w:r>
        <w:rPr>
          <w:rFonts w:hint="eastAsia"/>
          <w:color w:val="auto"/>
          <w:highlight w:val="none"/>
          <w:lang w:val="en-US" w:eastAsia="zh-CN"/>
        </w:rPr>
        <w:t>说明：</w:t>
      </w:r>
    </w:p>
    <w:p w14:paraId="33424775">
      <w:pPr>
        <w:pStyle w:val="25"/>
        <w:bidi w:val="0"/>
        <w:rPr>
          <w:rFonts w:hint="eastAsia"/>
          <w:color w:val="auto"/>
          <w:highlight w:val="none"/>
          <w:lang w:val="en-US" w:eastAsia="zh-CN"/>
        </w:rPr>
      </w:pPr>
      <w:r>
        <w:rPr>
          <w:rFonts w:hint="eastAsia"/>
          <w:color w:val="auto"/>
          <w:highlight w:val="none"/>
          <w:lang w:val="en-US" w:eastAsia="zh-CN"/>
        </w:rPr>
        <w:t>1.供应商报价可选择“重庆市药品和医用耗材招采管理系统”的“挂网价”或“备案价”两种方式：选择“挂网价”报价的，最终报价不得高于该平台最低价；选择“备案”报价的，最终报价必须低于该平台最低价（需提供报价承诺函）。</w:t>
      </w:r>
    </w:p>
    <w:p w14:paraId="149663B6">
      <w:pPr>
        <w:pStyle w:val="25"/>
        <w:bidi w:val="0"/>
        <w:rPr>
          <w:rFonts w:hint="eastAsia"/>
          <w:color w:val="auto"/>
          <w:lang w:val="en-US" w:eastAsia="zh-CN"/>
        </w:rPr>
      </w:pPr>
      <w:r>
        <w:rPr>
          <w:rFonts w:hint="eastAsia"/>
          <w:color w:val="auto"/>
          <w:highlight w:val="none"/>
          <w:lang w:val="en-US" w:eastAsia="zh-CN"/>
        </w:rPr>
        <w:t>2.设备配套的试剂由供应商根据所提供的设备及采购要求的</w:t>
      </w:r>
      <w:r>
        <w:rPr>
          <w:rFonts w:hint="eastAsia"/>
          <w:color w:val="auto"/>
          <w:lang w:val="en-US" w:eastAsia="zh-CN"/>
        </w:rPr>
        <w:t>项目进行配置，并在响应文件中添加</w:t>
      </w:r>
      <w:r>
        <w:rPr>
          <w:rFonts w:hint="eastAsia"/>
          <w:color w:val="auto"/>
          <w:highlight w:val="none"/>
          <w:lang w:val="en-US" w:eastAsia="zh-CN"/>
        </w:rPr>
        <w:t>。</w:t>
      </w:r>
      <w:r>
        <w:rPr>
          <w:rFonts w:hint="eastAsia"/>
          <w:color w:val="auto"/>
          <w:lang w:val="en-US" w:eastAsia="zh-CN"/>
        </w:rPr>
        <w:t>供应商必须确保所提供的所有试剂和耗材能满足项目开展和设备的使用需要。</w:t>
      </w:r>
    </w:p>
    <w:p w14:paraId="1C5881D0">
      <w:pPr>
        <w:pStyle w:val="25"/>
        <w:bidi w:val="0"/>
        <w:rPr>
          <w:rFonts w:hint="default" w:hAnsi="宋体" w:cs="Times New Roman"/>
          <w:b w:val="0"/>
          <w:bCs/>
          <w:color w:val="auto"/>
          <w:kern w:val="2"/>
          <w:sz w:val="24"/>
          <w:szCs w:val="24"/>
          <w:lang w:val="en-US" w:eastAsia="zh-CN" w:bidi="ar-SA"/>
        </w:rPr>
      </w:pPr>
      <w:bookmarkStart w:id="15" w:name="OLE_LINK1"/>
      <w:r>
        <w:rPr>
          <w:rFonts w:hint="eastAsia"/>
          <w:color w:val="auto"/>
          <w:highlight w:val="none"/>
          <w:lang w:val="en-US" w:eastAsia="zh-CN"/>
        </w:rPr>
        <w:t>3.检验配套试剂</w:t>
      </w:r>
      <w:r>
        <w:rPr>
          <w:rFonts w:hint="eastAsia" w:ascii="方正仿宋_GBK" w:hAnsi="方正仿宋_GBK" w:eastAsia="方正仿宋_GBK" w:cs="方正仿宋_GBK"/>
          <w:color w:val="auto"/>
          <w:kern w:val="2"/>
          <w:sz w:val="24"/>
          <w:szCs w:val="24"/>
          <w:highlight w:val="none"/>
          <w:lang w:val="en-US" w:eastAsia="zh-CN" w:bidi="ar-SA"/>
        </w:rPr>
        <w:t>不分包装规格，</w:t>
      </w:r>
      <w:r>
        <w:rPr>
          <w:rFonts w:hint="eastAsia" w:cs="方正仿宋_GBK"/>
          <w:color w:val="auto"/>
          <w:kern w:val="2"/>
          <w:sz w:val="24"/>
          <w:szCs w:val="24"/>
          <w:highlight w:val="none"/>
          <w:lang w:val="en-US" w:eastAsia="zh-CN" w:bidi="ar-SA"/>
        </w:rPr>
        <w:t>均</w:t>
      </w:r>
      <w:r>
        <w:rPr>
          <w:rFonts w:hint="eastAsia"/>
          <w:color w:val="auto"/>
          <w:highlight w:val="none"/>
          <w:lang w:val="en-US" w:eastAsia="zh-CN"/>
        </w:rPr>
        <w:t>按照单人份</w:t>
      </w:r>
      <w:r>
        <w:rPr>
          <w:rFonts w:hint="eastAsia" w:ascii="方正仿宋_GBK" w:hAnsi="方正仿宋_GBK" w:eastAsia="方正仿宋_GBK" w:cs="方正仿宋_GBK"/>
          <w:color w:val="auto"/>
          <w:kern w:val="2"/>
          <w:sz w:val="24"/>
          <w:szCs w:val="24"/>
          <w:highlight w:val="none"/>
          <w:lang w:val="en-US" w:eastAsia="zh-CN" w:bidi="ar-SA"/>
        </w:rPr>
        <w:t>统一</w:t>
      </w:r>
      <w:r>
        <w:rPr>
          <w:rFonts w:hint="eastAsia"/>
          <w:color w:val="auto"/>
          <w:highlight w:val="none"/>
          <w:lang w:val="en-US" w:eastAsia="zh-CN"/>
        </w:rPr>
        <w:t>价格进行报价和结算，</w:t>
      </w:r>
      <w:r>
        <w:rPr>
          <w:rFonts w:hint="eastAsia" w:ascii="方正仿宋_GBK" w:hAnsi="宋体" w:eastAsia="方正仿宋_GBK" w:cs="Times New Roman"/>
          <w:b w:val="0"/>
          <w:bCs/>
          <w:color w:val="auto"/>
          <w:kern w:val="2"/>
          <w:sz w:val="24"/>
          <w:szCs w:val="24"/>
          <w:lang w:val="en-US" w:eastAsia="zh-CN" w:bidi="ar-SA"/>
        </w:rPr>
        <w:t>报价不高于药交所挂网最低价，且不超过二级甲等综合医院该项目收费标准的30%。</w:t>
      </w:r>
      <w:r>
        <w:rPr>
          <w:rFonts w:hint="eastAsia" w:hAnsi="宋体" w:cs="Times New Roman"/>
          <w:b w:val="0"/>
          <w:bCs/>
          <w:color w:val="auto"/>
          <w:kern w:val="2"/>
          <w:sz w:val="24"/>
          <w:szCs w:val="24"/>
          <w:lang w:val="en-US" w:eastAsia="zh-CN" w:bidi="ar-SA"/>
        </w:rPr>
        <w:t>该项目配套耗材包括开展该项目所需的各种</w:t>
      </w:r>
      <w:r>
        <w:rPr>
          <w:rFonts w:hint="eastAsia"/>
          <w:color w:val="auto"/>
          <w:lang w:val="en-US" w:eastAsia="zh-CN"/>
        </w:rPr>
        <w:t>校准品、质控品、清洗液、反应杯等，纳入配套试剂中计算，不在支付一切相关费用。</w:t>
      </w:r>
    </w:p>
    <w:bookmarkEnd w:id="15"/>
    <w:p w14:paraId="749047E4">
      <w:pPr>
        <w:pStyle w:val="25"/>
        <w:bidi w:val="0"/>
        <w:rPr>
          <w:rFonts w:hint="eastAsia"/>
          <w:color w:val="auto"/>
          <w:highlight w:val="none"/>
          <w:lang w:val="en-US" w:eastAsia="zh-CN"/>
        </w:rPr>
      </w:pPr>
      <w:r>
        <w:rPr>
          <w:rFonts w:hint="eastAsia" w:hAnsi="宋体" w:cs="Times New Roman"/>
          <w:b w:val="0"/>
          <w:bCs/>
          <w:color w:val="auto"/>
          <w:sz w:val="24"/>
          <w:szCs w:val="24"/>
          <w:lang w:val="en-US" w:eastAsia="zh-CN"/>
        </w:rPr>
        <w:t>4.</w:t>
      </w:r>
      <w:r>
        <w:rPr>
          <w:rFonts w:hint="eastAsia"/>
          <w:color w:val="auto"/>
          <w:highlight w:val="none"/>
          <w:lang w:val="en-US" w:eastAsia="zh-CN"/>
        </w:rPr>
        <w:t>若所响应的耗材</w:t>
      </w:r>
      <w:r>
        <w:rPr>
          <w:rFonts w:hint="eastAsia" w:ascii="方正仿宋_GBK" w:hAnsi="宋体" w:eastAsia="方正仿宋_GBK" w:cs="Times New Roman"/>
          <w:b w:val="0"/>
          <w:bCs/>
          <w:color w:val="auto"/>
          <w:sz w:val="24"/>
          <w:szCs w:val="24"/>
          <w:lang w:val="en-US" w:eastAsia="zh-CN"/>
        </w:rPr>
        <w:t>/试剂属于与非开放性医疗设备配套使用的专用耗材，则供应商必须在响应文件中提交以下材料：①《非开放性医疗设备配套使用的专用耗材承诺书》（格式自拟），书面声明其耗材/试剂的</w:t>
      </w:r>
      <w:r>
        <w:rPr>
          <w:rFonts w:hint="eastAsia" w:hAnsi="宋体" w:cs="Times New Roman"/>
          <w:b w:val="0"/>
          <w:bCs/>
          <w:color w:val="auto"/>
          <w:sz w:val="24"/>
          <w:szCs w:val="24"/>
          <w:lang w:val="en-US" w:eastAsia="zh-CN"/>
        </w:rPr>
        <w:t>非开放性</w:t>
      </w:r>
      <w:r>
        <w:rPr>
          <w:rFonts w:hint="eastAsia"/>
          <w:color w:val="auto"/>
          <w:highlight w:val="none"/>
          <w:lang w:val="en-US" w:eastAsia="zh-CN"/>
        </w:rPr>
        <w:t>属性，并承诺不会因技术、授权等问题导致后续供应中断，若供应商违反上述承诺，因技术、授权等问题导致耗材/试剂后续供应中断的，医院有权无条件提前解除设备及耗材/试剂采购合同，供应商应退返折算后的残值金额（依据医院管理制度规定，从应当支付的耗材款中扣除），医院无需承担任何违约责任。</w:t>
      </w:r>
    </w:p>
    <w:p w14:paraId="79103724">
      <w:pPr>
        <w:pStyle w:val="25"/>
        <w:bidi w:val="0"/>
        <w:rPr>
          <w:rFonts w:hint="eastAsia"/>
          <w:color w:val="auto"/>
          <w:highlight w:val="none"/>
          <w:lang w:val="en-US" w:eastAsia="zh-CN"/>
        </w:rPr>
      </w:pPr>
      <w:r>
        <w:rPr>
          <w:rFonts w:hint="eastAsia"/>
          <w:color w:val="auto"/>
          <w:highlight w:val="none"/>
          <w:lang w:val="en-US" w:eastAsia="zh-CN"/>
        </w:rPr>
        <w:t>5.若药交所规则、集采等政策因素调整，试剂、耗材供应价格下降，低于供应商承诺的试剂价格（单人份价格）的，根据降低后的最低交易价（单人份价格）实时调整、据实结算。配套使用的试剂需为重庆药品和医用耗材招采管理系统挂网产品（挂网价或备案价），供应商需承诺此类试剂后续供应价不高于本次承诺报价。</w:t>
      </w:r>
    </w:p>
    <w:p w14:paraId="11EF1CBD">
      <w:pPr>
        <w:pStyle w:val="25"/>
        <w:bidi w:val="0"/>
        <w:rPr>
          <w:rFonts w:hint="eastAsia"/>
          <w:color w:val="auto"/>
          <w:highlight w:val="none"/>
          <w:lang w:val="en-US" w:eastAsia="zh-CN"/>
        </w:rPr>
      </w:pPr>
      <w:r>
        <w:rPr>
          <w:rFonts w:hint="eastAsia"/>
          <w:color w:val="auto"/>
          <w:highlight w:val="none"/>
          <w:lang w:val="en-US" w:eastAsia="zh-CN"/>
        </w:rPr>
        <w:t>6.供应商必须提交规范正确的国家医保码和重庆医保认可的流水号，否则供应商必须赔偿医院因耗材无法收费及报销形成的损失，无条件办理退货和退款，若收费问题最终无法解决，合同将自动解除，并按虚假应标处理。若合同期内，相关收费项目无法收费或被移除重庆医保收费系统，供应商必须及时主动提交书面情况给采购人，并及时办理退货和退款，供应商应承担因耗材/试剂无法收费造成的损失。若设备使用过程中，新增或被纳入重庆医保收费系统的，供应商必须及时主动提交书面情况给采购人。</w:t>
      </w:r>
    </w:p>
    <w:p w14:paraId="33308A77">
      <w:pPr>
        <w:pStyle w:val="25"/>
        <w:bidi w:val="0"/>
        <w:rPr>
          <w:rFonts w:hint="eastAsia"/>
          <w:color w:val="auto"/>
          <w:highlight w:val="none"/>
          <w:lang w:val="en-US" w:eastAsia="zh-CN"/>
        </w:rPr>
      </w:pPr>
      <w:r>
        <w:rPr>
          <w:rFonts w:hint="eastAsia"/>
          <w:color w:val="auto"/>
          <w:highlight w:val="none"/>
          <w:lang w:val="en-US" w:eastAsia="zh-CN"/>
        </w:rPr>
        <w:t>7.我院目前暂无SPD系统，如果在合同期内建设SPD系统，中标供应商需无条件配合采购人SPD系统建设工作。</w:t>
      </w:r>
    </w:p>
    <w:p w14:paraId="1875B042">
      <w:pPr>
        <w:pStyle w:val="25"/>
        <w:bidi w:val="0"/>
        <w:rPr>
          <w:rFonts w:hint="eastAsia"/>
          <w:color w:val="auto"/>
          <w:highlight w:val="none"/>
          <w:lang w:val="en-US" w:eastAsia="zh-CN"/>
        </w:rPr>
      </w:pPr>
      <w:r>
        <w:rPr>
          <w:rFonts w:hint="eastAsia"/>
          <w:color w:val="auto"/>
          <w:highlight w:val="none"/>
          <w:lang w:val="en-US" w:eastAsia="zh-CN"/>
        </w:rPr>
        <w:t>8.项目实施过程中，供应商不得以任何借口增加项目，另行收取额外或其他费用。</w:t>
      </w:r>
    </w:p>
    <w:p w14:paraId="0241E7A2">
      <w:pPr>
        <w:pStyle w:val="25"/>
        <w:bidi w:val="0"/>
        <w:rPr>
          <w:rFonts w:hint="default"/>
          <w:color w:val="auto"/>
          <w:highlight w:val="none"/>
          <w:lang w:val="en-US" w:eastAsia="zh-CN"/>
        </w:rPr>
      </w:pPr>
      <w:r>
        <w:rPr>
          <w:rFonts w:hint="eastAsia"/>
          <w:color w:val="auto"/>
          <w:highlight w:val="none"/>
          <w:lang w:val="en-US" w:eastAsia="zh-CN"/>
        </w:rPr>
        <w:t>（注：上述要求，须在响应文件中进行响应）</w:t>
      </w:r>
    </w:p>
    <w:p w14:paraId="1C9B4ED3">
      <w:pPr>
        <w:pStyle w:val="26"/>
        <w:numPr>
          <w:ilvl w:val="0"/>
          <w:numId w:val="0"/>
        </w:numPr>
        <w:bidi w:val="0"/>
        <w:ind w:leftChars="200"/>
        <w:rPr>
          <w:rFonts w:hint="default"/>
          <w:color w:val="auto"/>
          <w:lang w:val="en-US" w:eastAsia="zh-CN"/>
        </w:rPr>
      </w:pPr>
      <w:r>
        <w:rPr>
          <w:rFonts w:hint="eastAsia"/>
          <w:color w:val="auto"/>
          <w:lang w:val="en-US" w:eastAsia="zh-CN"/>
        </w:rPr>
        <w:t>※四、</w:t>
      </w:r>
      <w:r>
        <w:rPr>
          <w:rFonts w:hint="default"/>
          <w:color w:val="auto"/>
          <w:lang w:val="en-US" w:eastAsia="zh-CN"/>
        </w:rPr>
        <w:t>其他要求</w:t>
      </w:r>
    </w:p>
    <w:p w14:paraId="115340CE">
      <w:pPr>
        <w:pStyle w:val="25"/>
        <w:bidi w:val="0"/>
        <w:rPr>
          <w:rFonts w:hint="default"/>
          <w:color w:val="auto"/>
          <w:highlight w:val="none"/>
        </w:rPr>
      </w:pPr>
      <w:r>
        <w:rPr>
          <w:rFonts w:hint="default"/>
          <w:color w:val="auto"/>
          <w:highlight w:val="none"/>
          <w:lang w:eastAsia="zh-CN"/>
        </w:rPr>
        <w:t>（一）</w:t>
      </w:r>
      <w:r>
        <w:rPr>
          <w:rFonts w:hint="default"/>
          <w:color w:val="auto"/>
          <w:highlight w:val="none"/>
        </w:rPr>
        <w:t>货物质量保证：供方提供的货物必须是</w:t>
      </w:r>
      <w:r>
        <w:rPr>
          <w:rFonts w:hint="eastAsia"/>
          <w:color w:val="auto"/>
          <w:highlight w:val="none"/>
          <w:lang w:val="en-US" w:eastAsia="zh-CN"/>
        </w:rPr>
        <w:t>全新的，</w:t>
      </w:r>
      <w:r>
        <w:rPr>
          <w:rFonts w:hint="default"/>
          <w:color w:val="auto"/>
          <w:highlight w:val="none"/>
        </w:rPr>
        <w:t>原厂生产</w:t>
      </w:r>
      <w:r>
        <w:rPr>
          <w:rFonts w:hint="default"/>
          <w:color w:val="auto"/>
          <w:highlight w:val="none"/>
          <w:lang w:val="en-US"/>
        </w:rPr>
        <w:t>，未使用过</w:t>
      </w:r>
      <w:r>
        <w:rPr>
          <w:rFonts w:hint="default"/>
          <w:color w:val="auto"/>
          <w:highlight w:val="none"/>
        </w:rPr>
        <w:t>的零部件，并完全符合国家质量标准，附正品说明</w:t>
      </w:r>
      <w:r>
        <w:rPr>
          <w:rFonts w:hint="eastAsia"/>
          <w:color w:val="auto"/>
          <w:highlight w:val="none"/>
          <w:lang w:val="en-US" w:eastAsia="zh-CN"/>
        </w:rPr>
        <w:t>或产品</w:t>
      </w:r>
      <w:r>
        <w:rPr>
          <w:rFonts w:hint="default"/>
          <w:color w:val="auto"/>
          <w:highlight w:val="none"/>
        </w:rPr>
        <w:t>合格证。所有产品符合《中华人民共和国产品质量法》《中华人民共和国计量法》《中华人民共和国标准化法》《医疗器械监督管理条例》《医疗器械生产监督管理办法》《医疗器械经营监督管理办法》要求</w:t>
      </w:r>
      <w:r>
        <w:rPr>
          <w:rFonts w:hint="eastAsia"/>
          <w:color w:val="auto"/>
          <w:highlight w:val="none"/>
          <w:lang w:eastAsia="zh-CN"/>
        </w:rPr>
        <w:t>，</w:t>
      </w:r>
      <w:r>
        <w:rPr>
          <w:rFonts w:hint="default"/>
          <w:color w:val="auto"/>
          <w:highlight w:val="none"/>
        </w:rPr>
        <w:t>符合相关行业管理规定。</w:t>
      </w:r>
    </w:p>
    <w:p w14:paraId="1372B22D">
      <w:pPr>
        <w:pStyle w:val="25"/>
        <w:bidi w:val="0"/>
        <w:rPr>
          <w:rFonts w:hint="default"/>
          <w:color w:val="auto"/>
          <w:highlight w:val="none"/>
        </w:rPr>
      </w:pPr>
      <w:r>
        <w:rPr>
          <w:rFonts w:hint="default"/>
          <w:color w:val="auto"/>
          <w:highlight w:val="none"/>
          <w:lang w:eastAsia="zh-CN"/>
        </w:rPr>
        <w:t>（二）</w:t>
      </w:r>
      <w:r>
        <w:rPr>
          <w:rFonts w:hint="default"/>
          <w:color w:val="auto"/>
          <w:highlight w:val="none"/>
        </w:rPr>
        <w:t>根据</w:t>
      </w:r>
      <w:r>
        <w:rPr>
          <w:rFonts w:hint="eastAsia"/>
          <w:color w:val="auto"/>
          <w:highlight w:val="none"/>
          <w:lang w:eastAsia="zh-CN"/>
        </w:rPr>
        <w:t>采购</w:t>
      </w:r>
      <w:r>
        <w:rPr>
          <w:rFonts w:hint="default"/>
          <w:color w:val="auto"/>
          <w:highlight w:val="none"/>
        </w:rPr>
        <w:t>货物的技术参数和规格要求，</w:t>
      </w:r>
      <w:r>
        <w:rPr>
          <w:rFonts w:hint="eastAsia"/>
          <w:color w:val="auto"/>
          <w:highlight w:val="none"/>
          <w:lang w:eastAsia="zh-CN"/>
        </w:rPr>
        <w:t>供应商</w:t>
      </w:r>
      <w:r>
        <w:rPr>
          <w:rFonts w:hint="default"/>
          <w:color w:val="auto"/>
          <w:highlight w:val="none"/>
        </w:rPr>
        <w:t>所投产品设备技术参数不得低于</w:t>
      </w:r>
      <w:r>
        <w:rPr>
          <w:rFonts w:hint="eastAsia"/>
          <w:color w:val="auto"/>
          <w:highlight w:val="none"/>
          <w:lang w:eastAsia="zh-CN"/>
        </w:rPr>
        <w:t>采购文件</w:t>
      </w:r>
      <w:r>
        <w:rPr>
          <w:rFonts w:hint="default"/>
          <w:color w:val="auto"/>
          <w:highlight w:val="none"/>
        </w:rPr>
        <w:t>要求</w:t>
      </w:r>
      <w:r>
        <w:rPr>
          <w:rFonts w:hint="eastAsia"/>
          <w:color w:val="auto"/>
          <w:highlight w:val="none"/>
          <w:lang w:eastAsia="zh-CN"/>
        </w:rPr>
        <w:t>，</w:t>
      </w:r>
      <w:r>
        <w:rPr>
          <w:rFonts w:hint="eastAsia"/>
          <w:color w:val="auto"/>
          <w:highlight w:val="none"/>
          <w:lang w:val="en-US" w:eastAsia="zh-CN"/>
        </w:rPr>
        <w:t>需要提供该设备的技术白皮书或产品说明书证明</w:t>
      </w:r>
      <w:r>
        <w:rPr>
          <w:rFonts w:hint="default"/>
          <w:color w:val="auto"/>
          <w:highlight w:val="none"/>
        </w:rPr>
        <w:t>。</w:t>
      </w:r>
    </w:p>
    <w:p w14:paraId="1D216E54">
      <w:pPr>
        <w:pStyle w:val="26"/>
        <w:numPr>
          <w:ilvl w:val="0"/>
          <w:numId w:val="0"/>
        </w:numPr>
        <w:bidi w:val="0"/>
        <w:ind w:leftChars="200"/>
        <w:rPr>
          <w:rFonts w:hint="default"/>
          <w:color w:val="auto"/>
          <w:lang w:val="en-US" w:eastAsia="zh-CN"/>
        </w:rPr>
      </w:pPr>
      <w:r>
        <w:rPr>
          <w:rFonts w:hint="eastAsia"/>
          <w:color w:val="auto"/>
          <w:lang w:val="en-US" w:eastAsia="zh-CN"/>
        </w:rPr>
        <w:t>五、</w:t>
      </w:r>
      <w:r>
        <w:rPr>
          <w:rFonts w:hint="default"/>
          <w:color w:val="auto"/>
          <w:lang w:val="en-US" w:eastAsia="zh-CN"/>
        </w:rPr>
        <w:t>附件、图纸及包装要求</w:t>
      </w:r>
      <w:bookmarkEnd w:id="11"/>
    </w:p>
    <w:p w14:paraId="564A4189">
      <w:pPr>
        <w:pStyle w:val="25"/>
        <w:bidi w:val="0"/>
        <w:rPr>
          <w:rFonts w:hint="default"/>
          <w:color w:val="auto"/>
          <w:highlight w:val="none"/>
        </w:rPr>
      </w:pPr>
      <w:r>
        <w:rPr>
          <w:rFonts w:hint="default"/>
          <w:color w:val="auto"/>
          <w:highlight w:val="none"/>
          <w:lang w:eastAsia="zh-CN"/>
        </w:rPr>
        <w:t>（一）</w:t>
      </w:r>
      <w:r>
        <w:rPr>
          <w:rFonts w:hint="default"/>
          <w:color w:val="auto"/>
          <w:highlight w:val="none"/>
        </w:rPr>
        <w:t>所有货物按照厂家规定的产品包装和随机标准附件为准。</w:t>
      </w:r>
    </w:p>
    <w:p w14:paraId="7C6FE610">
      <w:pPr>
        <w:pStyle w:val="25"/>
        <w:bidi w:val="0"/>
        <w:rPr>
          <w:rFonts w:hint="default" w:ascii="Times New Roman" w:hAnsi="Times New Roman" w:eastAsia="方正仿宋_GBK" w:cs="Times New Roman"/>
          <w:color w:val="auto"/>
          <w:szCs w:val="24"/>
          <w:highlight w:val="none"/>
        </w:rPr>
        <w:sectPr>
          <w:headerReference r:id="rId5" w:type="default"/>
          <w:footerReference r:id="rId6" w:type="default"/>
          <w:pgSz w:w="11907" w:h="16840"/>
          <w:pgMar w:top="1984" w:right="1446" w:bottom="1644" w:left="1446" w:header="964" w:footer="992" w:gutter="0"/>
          <w:pgNumType w:fmt="decimal"/>
          <w:cols w:space="0" w:num="1"/>
          <w:rtlGutter w:val="0"/>
          <w:docGrid w:linePitch="381" w:charSpace="0"/>
        </w:sectPr>
      </w:pPr>
      <w:r>
        <w:rPr>
          <w:rFonts w:hint="default"/>
          <w:color w:val="auto"/>
          <w:highlight w:val="none"/>
          <w:lang w:eastAsia="zh-CN"/>
        </w:rPr>
        <w:t>（二）</w:t>
      </w:r>
      <w:r>
        <w:rPr>
          <w:rFonts w:hint="default"/>
          <w:color w:val="auto"/>
          <w:highlight w:val="none"/>
        </w:rPr>
        <w:t>要求防腐、防撞击、全新包装，以保证货物到达用户所在地完好无损，如有缺漏、损坏概由卖方负责补齐或赔偿。包装材料不予回收。</w:t>
      </w:r>
    </w:p>
    <w:p w14:paraId="6464581C">
      <w:pPr>
        <w:pStyle w:val="27"/>
        <w:bidi w:val="0"/>
        <w:rPr>
          <w:rFonts w:hint="default"/>
          <w:color w:val="auto"/>
          <w:highlight w:val="none"/>
          <w:lang w:val="en-US" w:eastAsia="zh-CN"/>
        </w:rPr>
      </w:pPr>
      <w:bookmarkStart w:id="16" w:name="_Toc340223143"/>
      <w:r>
        <w:rPr>
          <w:rFonts w:hint="default"/>
          <w:color w:val="auto"/>
          <w:highlight w:val="none"/>
          <w:lang w:val="en-US" w:eastAsia="zh-CN"/>
        </w:rPr>
        <w:t>第三篇 项目商务要求</w:t>
      </w:r>
      <w:bookmarkEnd w:id="16"/>
    </w:p>
    <w:p w14:paraId="60D27067">
      <w:pPr>
        <w:pStyle w:val="27"/>
        <w:bidi w:val="0"/>
        <w:rPr>
          <w:rFonts w:hint="default" w:ascii="方正仿宋_GBK" w:hAnsi="方正仿宋_GBK" w:eastAsia="方正仿宋_GBK" w:cs="方正仿宋_GBK"/>
          <w:b/>
          <w:bCs/>
          <w:color w:val="auto"/>
          <w:kern w:val="2"/>
          <w:sz w:val="24"/>
          <w:szCs w:val="24"/>
          <w:lang w:val="en-US" w:eastAsia="zh-CN" w:bidi="ar-SA"/>
        </w:rPr>
      </w:pPr>
      <w:bookmarkStart w:id="17" w:name="_Toc340223144"/>
      <w:bookmarkStart w:id="18" w:name="_Toc267320049"/>
      <w:r>
        <w:rPr>
          <w:rFonts w:hint="default" w:ascii="方正仿宋_GBK" w:hAnsi="方正仿宋_GBK" w:eastAsia="方正仿宋_GBK" w:cs="方正仿宋_GBK"/>
          <w:b/>
          <w:bCs/>
          <w:color w:val="auto"/>
          <w:kern w:val="2"/>
          <w:sz w:val="24"/>
          <w:szCs w:val="24"/>
          <w:lang w:val="en-US" w:eastAsia="zh-CN" w:bidi="ar-SA"/>
        </w:rPr>
        <w:t>（※</w:t>
      </w:r>
      <w:r>
        <w:rPr>
          <w:rFonts w:hint="eastAsia" w:ascii="方正仿宋_GBK" w:hAnsi="方正仿宋_GBK" w:eastAsia="方正仿宋_GBK" w:cs="方正仿宋_GBK"/>
          <w:b/>
          <w:bCs/>
          <w:color w:val="auto"/>
          <w:kern w:val="2"/>
          <w:sz w:val="24"/>
          <w:szCs w:val="24"/>
          <w:lang w:val="en-US" w:eastAsia="zh-CN" w:bidi="ar-SA"/>
        </w:rPr>
        <w:t>号</w:t>
      </w:r>
      <w:r>
        <w:rPr>
          <w:rFonts w:hint="default" w:ascii="方正仿宋_GBK" w:hAnsi="方正仿宋_GBK" w:eastAsia="方正仿宋_GBK" w:cs="方正仿宋_GBK"/>
          <w:b/>
          <w:bCs/>
          <w:color w:val="auto"/>
          <w:kern w:val="2"/>
          <w:sz w:val="24"/>
          <w:szCs w:val="24"/>
          <w:lang w:val="en-US" w:eastAsia="zh-CN" w:bidi="ar-SA"/>
        </w:rPr>
        <w:t>标注的商务要求为符合性审查中的实质性要求，若不满足按无效投标处理。）</w:t>
      </w:r>
    </w:p>
    <w:p w14:paraId="7E795006">
      <w:pPr>
        <w:pStyle w:val="26"/>
        <w:numPr>
          <w:ilvl w:val="0"/>
          <w:numId w:val="0"/>
        </w:numPr>
        <w:bidi w:val="0"/>
        <w:ind w:leftChars="200"/>
        <w:rPr>
          <w:rFonts w:hint="eastAsia"/>
          <w:color w:val="auto"/>
          <w:lang w:val="en-US" w:eastAsia="zh-CN"/>
        </w:rPr>
      </w:pPr>
      <w:r>
        <w:rPr>
          <w:rFonts w:hint="eastAsia"/>
          <w:color w:val="auto"/>
          <w:lang w:val="en-US" w:eastAsia="zh-CN"/>
        </w:rPr>
        <w:t>※一、</w:t>
      </w:r>
      <w:r>
        <w:rPr>
          <w:rFonts w:hint="default"/>
          <w:color w:val="auto"/>
          <w:lang w:val="en-US" w:eastAsia="zh-CN"/>
        </w:rPr>
        <w:t>实施（交货）</w:t>
      </w:r>
      <w:r>
        <w:rPr>
          <w:rFonts w:hint="eastAsia"/>
          <w:color w:val="auto"/>
          <w:lang w:val="en-US" w:eastAsia="zh-CN"/>
        </w:rPr>
        <w:t>期限</w:t>
      </w:r>
      <w:r>
        <w:rPr>
          <w:rFonts w:hint="default"/>
          <w:color w:val="auto"/>
          <w:lang w:val="en-US" w:eastAsia="zh-CN"/>
        </w:rPr>
        <w:t>、</w:t>
      </w:r>
      <w:r>
        <w:rPr>
          <w:rFonts w:hint="eastAsia"/>
          <w:color w:val="auto"/>
          <w:lang w:val="en-US" w:eastAsia="zh-CN"/>
        </w:rPr>
        <w:t>交付时间、地点</w:t>
      </w:r>
    </w:p>
    <w:p w14:paraId="0DB5EB11">
      <w:pPr>
        <w:pStyle w:val="25"/>
        <w:bidi w:val="0"/>
        <w:rPr>
          <w:rFonts w:hint="eastAsia"/>
          <w:color w:val="auto"/>
          <w:highlight w:val="none"/>
          <w:lang w:eastAsia="zh-CN"/>
        </w:rPr>
      </w:pPr>
      <w:r>
        <w:rPr>
          <w:rFonts w:hint="eastAsia"/>
          <w:color w:val="auto"/>
          <w:highlight w:val="none"/>
          <w:lang w:eastAsia="zh-CN"/>
        </w:rPr>
        <w:t>（一）医疗设备。</w:t>
      </w:r>
    </w:p>
    <w:p w14:paraId="7A1FFEDB">
      <w:pPr>
        <w:pStyle w:val="25"/>
        <w:bidi w:val="0"/>
        <w:rPr>
          <w:rFonts w:hint="eastAsia"/>
          <w:color w:val="auto"/>
          <w:highlight w:val="none"/>
          <w:lang w:eastAsia="zh-CN"/>
        </w:rPr>
      </w:pPr>
      <w:r>
        <w:rPr>
          <w:rFonts w:hint="eastAsia"/>
          <w:color w:val="auto"/>
          <w:highlight w:val="none"/>
          <w:lang w:eastAsia="zh-CN"/>
        </w:rPr>
        <w:t>1.交付时间：签订合同后，经采购人书面通知交付货物之日起30个日历日内完成货物的交货和安装调试。</w:t>
      </w:r>
    </w:p>
    <w:p w14:paraId="69464F8C">
      <w:pPr>
        <w:pStyle w:val="25"/>
        <w:bidi w:val="0"/>
        <w:rPr>
          <w:rFonts w:hint="eastAsia"/>
          <w:color w:val="auto"/>
          <w:highlight w:val="none"/>
          <w:lang w:eastAsia="zh-CN"/>
        </w:rPr>
      </w:pPr>
      <w:r>
        <w:rPr>
          <w:rFonts w:hint="eastAsia"/>
          <w:color w:val="auto"/>
          <w:highlight w:val="none"/>
          <w:lang w:eastAsia="zh-CN"/>
        </w:rPr>
        <w:t>2.实施地点：采购人指定地点。</w:t>
      </w:r>
    </w:p>
    <w:p w14:paraId="0F3E62A1">
      <w:pPr>
        <w:pStyle w:val="25"/>
        <w:bidi w:val="0"/>
        <w:rPr>
          <w:rFonts w:hint="eastAsia"/>
          <w:color w:val="auto"/>
          <w:highlight w:val="none"/>
          <w:lang w:eastAsia="zh-CN"/>
        </w:rPr>
      </w:pPr>
      <w:r>
        <w:rPr>
          <w:rFonts w:hint="eastAsia"/>
          <w:color w:val="auto"/>
          <w:highlight w:val="none"/>
          <w:lang w:eastAsia="zh-CN"/>
        </w:rPr>
        <w:t>（二）配套试剂、耗材。</w:t>
      </w:r>
    </w:p>
    <w:p w14:paraId="1AC96896">
      <w:pPr>
        <w:pStyle w:val="25"/>
        <w:bidi w:val="0"/>
        <w:rPr>
          <w:rFonts w:hint="eastAsia"/>
          <w:color w:val="auto"/>
          <w:highlight w:val="none"/>
          <w:lang w:eastAsia="zh-CN"/>
        </w:rPr>
      </w:pPr>
      <w:r>
        <w:rPr>
          <w:rFonts w:hint="eastAsia"/>
          <w:color w:val="auto"/>
          <w:highlight w:val="none"/>
          <w:lang w:eastAsia="zh-CN"/>
        </w:rPr>
        <w:t>1.交付时间：</w:t>
      </w:r>
      <w:r>
        <w:rPr>
          <w:rFonts w:hint="default"/>
          <w:color w:val="auto"/>
          <w:highlight w:val="none"/>
          <w:lang w:val="en-US" w:eastAsia="zh-CN"/>
        </w:rPr>
        <w:t>本次配套耗材实施</w:t>
      </w:r>
      <w:r>
        <w:rPr>
          <w:rFonts w:hint="eastAsia"/>
          <w:color w:val="auto"/>
          <w:highlight w:val="none"/>
          <w:lang w:val="en-US" w:eastAsia="zh-CN"/>
        </w:rPr>
        <w:t>期限共3</w:t>
      </w:r>
      <w:r>
        <w:rPr>
          <w:rFonts w:hint="default"/>
          <w:color w:val="auto"/>
          <w:highlight w:val="none"/>
          <w:lang w:val="en-US" w:eastAsia="zh-CN"/>
        </w:rPr>
        <w:t>年，</w:t>
      </w:r>
      <w:r>
        <w:rPr>
          <w:rFonts w:hint="eastAsia"/>
          <w:color w:val="auto"/>
          <w:highlight w:val="none"/>
          <w:lang w:val="en-US" w:eastAsia="zh-CN"/>
        </w:rPr>
        <w:t>根据采购人需求</w:t>
      </w:r>
      <w:r>
        <w:rPr>
          <w:rFonts w:hint="eastAsia"/>
          <w:color w:val="auto"/>
          <w:highlight w:val="none"/>
          <w:lang w:eastAsia="zh-CN"/>
        </w:rPr>
        <w:t>按需、分批次供货，一般情况收到采购人订货通知后3天内送达指定地点，如遇紧急情况必须于1天内到货并验收合格。</w:t>
      </w:r>
    </w:p>
    <w:p w14:paraId="5F2A257C">
      <w:pPr>
        <w:pStyle w:val="25"/>
        <w:bidi w:val="0"/>
        <w:rPr>
          <w:rFonts w:hint="eastAsia"/>
          <w:color w:val="auto"/>
          <w:highlight w:val="none"/>
          <w:lang w:eastAsia="zh-CN"/>
        </w:rPr>
      </w:pPr>
      <w:r>
        <w:rPr>
          <w:rFonts w:hint="eastAsia"/>
          <w:color w:val="auto"/>
          <w:highlight w:val="none"/>
          <w:lang w:eastAsia="zh-CN"/>
        </w:rPr>
        <w:t>2.实施地点：采购人指定地点。</w:t>
      </w:r>
    </w:p>
    <w:p w14:paraId="2FDE19AC">
      <w:pPr>
        <w:pStyle w:val="26"/>
        <w:numPr>
          <w:ilvl w:val="0"/>
          <w:numId w:val="0"/>
        </w:numPr>
        <w:bidi w:val="0"/>
        <w:ind w:leftChars="200"/>
        <w:rPr>
          <w:rFonts w:hint="eastAsia"/>
          <w:color w:val="auto"/>
          <w:lang w:val="en-US" w:eastAsia="zh-CN"/>
        </w:rPr>
      </w:pPr>
      <w:r>
        <w:rPr>
          <w:rFonts w:hint="eastAsia"/>
          <w:color w:val="auto"/>
          <w:lang w:val="en-US" w:eastAsia="zh-CN"/>
        </w:rPr>
        <w:t>※二、付款条件</w:t>
      </w:r>
    </w:p>
    <w:p w14:paraId="6C38E79E">
      <w:pPr>
        <w:widowControl w:val="0"/>
        <w:bidi w:val="0"/>
        <w:snapToGrid w:val="0"/>
        <w:spacing w:after="0" w:line="400" w:lineRule="exact"/>
        <w:ind w:firstLine="480" w:firstLineChars="200"/>
        <w:jc w:val="both"/>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1.医疗设备：货物交付后，支付合同总价款的70%；完成安装调试，经过设备试运行，设备验收合格，支付合同总价款的30%（供应商垫资不计息）。</w:t>
      </w:r>
    </w:p>
    <w:p w14:paraId="6EC5A67B">
      <w:pPr>
        <w:pStyle w:val="25"/>
        <w:bidi w:val="0"/>
        <w:rPr>
          <w:rFonts w:hint="default"/>
          <w:color w:val="auto"/>
          <w:lang w:val="en-US" w:eastAsia="zh-CN"/>
        </w:rPr>
      </w:pPr>
      <w:r>
        <w:rPr>
          <w:rFonts w:hint="eastAsia"/>
          <w:color w:val="auto"/>
          <w:lang w:eastAsia="zh-CN"/>
        </w:rPr>
        <w:t>供应商向采购人开具与应付款等额的增值税发票是采购人支付合同价款的条件，若供应商未向采购人交付与应付款项等额的增值税发票，采购人有权拒绝向供应商支付合同价款，且采购人不因此承担拒绝付款的违约责任。</w:t>
      </w:r>
    </w:p>
    <w:p w14:paraId="4C3D041A">
      <w:pPr>
        <w:pStyle w:val="25"/>
        <w:bidi w:val="0"/>
        <w:rPr>
          <w:rFonts w:hint="default"/>
          <w:color w:val="auto"/>
          <w:lang w:val="en-US" w:eastAsia="zh-CN"/>
        </w:rPr>
      </w:pPr>
      <w:r>
        <w:rPr>
          <w:rFonts w:hint="default"/>
          <w:color w:val="auto"/>
          <w:lang w:val="en-US" w:eastAsia="zh-CN"/>
        </w:rPr>
        <w:t>采购人按照供应商提供的银行账户支付合同价款，因供应商提供账户或者账号相关信息遗漏、错误等原因所产生合同价款无法支付的后果由供应商自行承担。</w:t>
      </w:r>
    </w:p>
    <w:p w14:paraId="24456040">
      <w:pPr>
        <w:pStyle w:val="25"/>
        <w:bidi w:val="0"/>
        <w:rPr>
          <w:rFonts w:hint="default"/>
          <w:color w:val="auto"/>
          <w:lang w:val="en-US" w:eastAsia="zh-CN"/>
        </w:rPr>
      </w:pPr>
      <w:r>
        <w:rPr>
          <w:rFonts w:hint="eastAsia"/>
          <w:color w:val="auto"/>
          <w:lang w:val="en-US" w:eastAsia="zh-CN"/>
        </w:rPr>
        <w:t>2.医用耗材：按照医院财务要求，根据实际送货数量和金额，据实结算。</w:t>
      </w:r>
    </w:p>
    <w:p w14:paraId="1E182E3A">
      <w:pPr>
        <w:pStyle w:val="26"/>
        <w:numPr>
          <w:ilvl w:val="0"/>
          <w:numId w:val="0"/>
        </w:numPr>
        <w:bidi w:val="0"/>
        <w:ind w:leftChars="200"/>
        <w:rPr>
          <w:rFonts w:hint="eastAsia"/>
          <w:color w:val="auto"/>
          <w:lang w:val="en-US" w:eastAsia="zh-CN"/>
        </w:rPr>
      </w:pPr>
      <w:r>
        <w:rPr>
          <w:rFonts w:hint="eastAsia"/>
          <w:color w:val="auto"/>
          <w:lang w:val="en-US" w:eastAsia="zh-CN"/>
        </w:rPr>
        <w:t>※三、验收方式</w:t>
      </w:r>
    </w:p>
    <w:p w14:paraId="5FF3736C">
      <w:pPr>
        <w:pStyle w:val="25"/>
        <w:bidi w:val="0"/>
        <w:rPr>
          <w:rFonts w:hint="eastAsia"/>
          <w:color w:val="auto"/>
          <w:lang w:eastAsia="zh-CN"/>
        </w:rPr>
      </w:pPr>
      <w:r>
        <w:rPr>
          <w:rFonts w:hint="eastAsia"/>
          <w:color w:val="auto"/>
          <w:lang w:eastAsia="zh-CN"/>
        </w:rPr>
        <w:t>（</w:t>
      </w:r>
      <w:r>
        <w:rPr>
          <w:rFonts w:hint="eastAsia"/>
          <w:color w:val="auto"/>
          <w:lang w:val="en-US" w:eastAsia="zh-CN"/>
        </w:rPr>
        <w:t>一</w:t>
      </w:r>
      <w:r>
        <w:rPr>
          <w:rFonts w:hint="eastAsia"/>
          <w:color w:val="auto"/>
          <w:lang w:eastAsia="zh-CN"/>
        </w:rPr>
        <w:t>）医疗设备：供应商负责将全部货物送到采购人指定地点，并按采购人要求卸货、完成安装调试。在送货前，供应商应当与采购人沟通确定具体交货时间、地点等交接货相关事宜，以便采购人做好接货准备。具体验收内容有：</w:t>
      </w:r>
    </w:p>
    <w:p w14:paraId="79257B09">
      <w:pPr>
        <w:pStyle w:val="25"/>
        <w:bidi w:val="0"/>
        <w:rPr>
          <w:rFonts w:hint="eastAsia"/>
          <w:color w:val="auto"/>
          <w:lang w:eastAsia="zh-CN"/>
        </w:rPr>
      </w:pPr>
      <w:r>
        <w:rPr>
          <w:rFonts w:hint="eastAsia"/>
          <w:color w:val="auto"/>
          <w:lang w:val="en-US" w:eastAsia="zh-CN"/>
        </w:rPr>
        <w:t>1.</w:t>
      </w:r>
      <w:r>
        <w:rPr>
          <w:rFonts w:hint="eastAsia"/>
          <w:color w:val="auto"/>
          <w:lang w:eastAsia="zh-CN"/>
        </w:rPr>
        <w:t>设备到达指定地点后，供应商、厂家及采购方相关人员共同在场的情况下当面开箱，共同清点、检查外观、装机调试，做好记录，确认无误后签字确认。</w:t>
      </w:r>
    </w:p>
    <w:p w14:paraId="28EF43A9">
      <w:pPr>
        <w:pStyle w:val="25"/>
        <w:bidi w:val="0"/>
        <w:rPr>
          <w:rFonts w:hint="eastAsia"/>
          <w:color w:val="auto"/>
          <w:lang w:eastAsia="zh-CN"/>
        </w:rPr>
      </w:pPr>
      <w:r>
        <w:rPr>
          <w:rFonts w:hint="eastAsia"/>
          <w:color w:val="auto"/>
          <w:lang w:val="en-US" w:eastAsia="zh-CN"/>
        </w:rPr>
        <w:t>2.</w:t>
      </w:r>
      <w:r>
        <w:rPr>
          <w:rFonts w:hint="eastAsia"/>
          <w:color w:val="auto"/>
          <w:lang w:eastAsia="zh-CN"/>
        </w:rPr>
        <w:t>供应商应保证设备到达采购人所在地完好无损，如有缺漏、损坏，由供应商负责调换、补齐或赔偿。</w:t>
      </w:r>
    </w:p>
    <w:p w14:paraId="0613B724">
      <w:pPr>
        <w:pStyle w:val="25"/>
        <w:bidi w:val="0"/>
        <w:rPr>
          <w:rFonts w:hint="eastAsia"/>
          <w:color w:val="auto"/>
          <w:lang w:eastAsia="zh-CN"/>
        </w:rPr>
      </w:pPr>
      <w:r>
        <w:rPr>
          <w:rFonts w:hint="eastAsia"/>
          <w:color w:val="auto"/>
          <w:lang w:val="en-US" w:eastAsia="zh-CN"/>
        </w:rPr>
        <w:t>3.</w:t>
      </w:r>
      <w:r>
        <w:rPr>
          <w:rFonts w:hint="eastAsia"/>
          <w:color w:val="auto"/>
          <w:lang w:eastAsia="zh-CN"/>
        </w:rPr>
        <w:t>采购人应当对供应商的送货及安装提供必要的配合。供应商应提供完备的技术资料、装箱单和合格证等，并派遣专业技术人员进行现场安装调试。商品安装调试至正常运行，商品正常运行前的毁损、丢失等风险由供应商承担。</w:t>
      </w:r>
    </w:p>
    <w:p w14:paraId="4B6B87F6">
      <w:pPr>
        <w:pStyle w:val="25"/>
        <w:bidi w:val="0"/>
        <w:rPr>
          <w:rFonts w:hint="eastAsia"/>
          <w:color w:val="auto"/>
          <w:lang w:eastAsia="zh-CN"/>
        </w:rPr>
      </w:pPr>
      <w:r>
        <w:rPr>
          <w:rFonts w:hint="eastAsia"/>
          <w:color w:val="auto"/>
          <w:lang w:val="en-US" w:eastAsia="zh-CN"/>
        </w:rPr>
        <w:t>4.</w:t>
      </w:r>
      <w:r>
        <w:rPr>
          <w:rFonts w:hint="eastAsia"/>
          <w:color w:val="auto"/>
          <w:lang w:eastAsia="zh-CN"/>
        </w:rPr>
        <w:t>设备安装调试符合要求后，对使用人员培训考核合格，进行15天的试运行，设备试运行期间，供应商应当确保出现的问题全部得到解决，并运行正常。设备试运行期届满后，设备运行正常的，采购人组织相关科室进行最终验收，特殊设备，根据采购人的要求，可以委托第三方机构验收，验收完成后向供应商出具验收报告。</w:t>
      </w:r>
    </w:p>
    <w:p w14:paraId="66026055">
      <w:pPr>
        <w:pStyle w:val="25"/>
        <w:bidi w:val="0"/>
        <w:rPr>
          <w:rFonts w:hint="eastAsia"/>
          <w:color w:val="auto"/>
          <w:lang w:eastAsia="zh-CN"/>
        </w:rPr>
      </w:pPr>
      <w:r>
        <w:rPr>
          <w:rFonts w:hint="eastAsia"/>
          <w:color w:val="auto"/>
          <w:lang w:val="en-US" w:eastAsia="zh-CN"/>
        </w:rPr>
        <w:t>5.</w:t>
      </w:r>
      <w:r>
        <w:rPr>
          <w:rFonts w:hint="eastAsia"/>
          <w:color w:val="auto"/>
          <w:lang w:eastAsia="zh-CN"/>
        </w:rPr>
        <w:t>设备验收合格的条件：1）在规定时间和指定地点完成交货；2）所交付商品的各种质量指标、技术参数与采购文件、电子响应文件、采购合同一致；3）试运行期间性能指标达到或超过规定的标准；4）设备的使用说明书、维护手册、维修手册、软件备份、故障代码表、备件清单、零部件、维修密码（如果有）、报关单（进口设备）等维护维修必需的材料和信息，技术资料、装箱单、合格证等资料齐全；5）在设备试运行期间所出现的问题得到解决，并运行正常；6）采购人和供应商共同验收，双方共同确认签字。</w:t>
      </w:r>
    </w:p>
    <w:p w14:paraId="575702AD">
      <w:pPr>
        <w:pStyle w:val="25"/>
        <w:bidi w:val="0"/>
        <w:rPr>
          <w:rFonts w:hint="eastAsia"/>
          <w:color w:val="auto"/>
          <w:highlight w:val="none"/>
          <w:lang w:eastAsia="zh-CN"/>
        </w:rPr>
      </w:pPr>
      <w:r>
        <w:rPr>
          <w:rFonts w:hint="eastAsia"/>
          <w:color w:val="auto"/>
          <w:highlight w:val="none"/>
          <w:lang w:val="en-US" w:eastAsia="zh-CN"/>
        </w:rPr>
        <w:t>6.</w:t>
      </w:r>
      <w:r>
        <w:rPr>
          <w:rFonts w:hint="eastAsia"/>
          <w:color w:val="auto"/>
          <w:highlight w:val="none"/>
          <w:lang w:eastAsia="zh-CN"/>
        </w:rPr>
        <w:t>因商品质量或功能、参数问题发生验收争议的，双方先行协商解决，协商无法达成一致的，共同邀请国家认可的第三方质量检测机构对商品质量以及功能参数进行鉴定，甲乙双方均应接受和认可第三方鉴定机构的鉴定结论，鉴定检测费用由供应商承担。</w:t>
      </w:r>
    </w:p>
    <w:p w14:paraId="4988732A">
      <w:pPr>
        <w:pStyle w:val="25"/>
        <w:bidi w:val="0"/>
        <w:rPr>
          <w:rFonts w:hint="eastAsia"/>
          <w:color w:val="auto"/>
          <w:lang w:eastAsia="zh-CN"/>
        </w:rPr>
      </w:pPr>
      <w:r>
        <w:rPr>
          <w:rFonts w:hint="eastAsia"/>
          <w:color w:val="auto"/>
          <w:highlight w:val="none"/>
          <w:lang w:val="en-US" w:eastAsia="zh-CN"/>
        </w:rPr>
        <w:t>7.</w:t>
      </w:r>
      <w:r>
        <w:rPr>
          <w:rFonts w:hint="eastAsia"/>
          <w:color w:val="auto"/>
          <w:highlight w:val="none"/>
          <w:lang w:eastAsia="zh-CN"/>
        </w:rPr>
        <w:t>验收合格不作为商品质量问题的免责：采购人组织验收时，未及时发现问题，验收合格的，不作为商品质量问题的免责事由。若供应商交付的商品存在任何质量问题，采购人仍有权要求供应商补货、退换货、支付违约金、赔偿损失和有权单方解除合同等。</w:t>
      </w:r>
    </w:p>
    <w:p w14:paraId="6BCACB0D">
      <w:pPr>
        <w:pStyle w:val="25"/>
        <w:bidi w:val="0"/>
        <w:rPr>
          <w:rFonts w:hint="eastAsia"/>
          <w:color w:val="auto"/>
          <w:lang w:eastAsia="zh-CN"/>
        </w:rPr>
      </w:pPr>
      <w:r>
        <w:rPr>
          <w:rFonts w:hint="eastAsia"/>
          <w:color w:val="auto"/>
          <w:lang w:eastAsia="zh-CN"/>
        </w:rPr>
        <w:t>（</w:t>
      </w:r>
      <w:r>
        <w:rPr>
          <w:rFonts w:hint="eastAsia"/>
          <w:color w:val="auto"/>
          <w:lang w:val="en-US" w:eastAsia="zh-CN"/>
        </w:rPr>
        <w:t>二</w:t>
      </w:r>
      <w:r>
        <w:rPr>
          <w:rFonts w:hint="eastAsia"/>
          <w:color w:val="auto"/>
          <w:lang w:eastAsia="zh-CN"/>
        </w:rPr>
        <w:t>）配套试剂耗材：按照采购人医用耗材管理的要求，完成耗材的验收、入库。</w:t>
      </w:r>
    </w:p>
    <w:p w14:paraId="5DD5E08B">
      <w:pPr>
        <w:pStyle w:val="26"/>
        <w:numPr>
          <w:ilvl w:val="0"/>
          <w:numId w:val="0"/>
        </w:numPr>
        <w:bidi w:val="0"/>
        <w:ind w:leftChars="200"/>
        <w:rPr>
          <w:rFonts w:hint="eastAsia"/>
          <w:color w:val="auto"/>
          <w:lang w:val="en-US" w:eastAsia="zh-CN"/>
        </w:rPr>
      </w:pPr>
      <w:r>
        <w:rPr>
          <w:rFonts w:hint="eastAsia"/>
          <w:color w:val="auto"/>
          <w:lang w:val="en-US" w:eastAsia="zh-CN"/>
        </w:rPr>
        <w:t>※四、医用耗材供应管理要求</w:t>
      </w:r>
    </w:p>
    <w:p w14:paraId="26BC51C3">
      <w:pPr>
        <w:pStyle w:val="25"/>
        <w:bidi w:val="0"/>
        <w:rPr>
          <w:rFonts w:hint="default"/>
          <w:color w:val="auto"/>
          <w:highlight w:val="none"/>
          <w:lang w:val="en-US" w:eastAsia="zh-CN"/>
        </w:rPr>
      </w:pPr>
      <w:r>
        <w:rPr>
          <w:rFonts w:hint="eastAsia"/>
          <w:color w:val="auto"/>
          <w:highlight w:val="none"/>
          <w:lang w:val="en-US" w:eastAsia="zh-CN"/>
        </w:rPr>
        <w:t>1.</w:t>
      </w:r>
      <w:r>
        <w:rPr>
          <w:rFonts w:hint="eastAsia"/>
          <w:color w:val="auto"/>
          <w:highlight w:val="none"/>
          <w:lang w:eastAsia="zh-CN"/>
        </w:rPr>
        <w:t>供应商负责提供相应设备以及原装或配套试剂耗材的供应，</w:t>
      </w:r>
      <w:r>
        <w:rPr>
          <w:rFonts w:hint="eastAsia"/>
          <w:color w:val="auto"/>
          <w:highlight w:val="none"/>
          <w:lang w:val="en-US" w:eastAsia="zh-CN"/>
        </w:rPr>
        <w:t>耗材供应服务期三年。中标供应商在接到采购人送货通知3个日历日内将货物送到医院指定地点，配合采购人做好验收入库手续，所供每批产品必须出具送货清单及检验报告或合格证，送货清单要求项目齐全，货单一致，并随货同行，否则不予以验收入库，并承担配送所产生的一切费用。</w:t>
      </w:r>
    </w:p>
    <w:p w14:paraId="66437C8E">
      <w:pPr>
        <w:pStyle w:val="25"/>
        <w:bidi w:val="0"/>
        <w:rPr>
          <w:rFonts w:hint="default" w:hAnsi="宋体" w:cs="Times New Roman"/>
          <w:b w:val="0"/>
          <w:bCs/>
          <w:color w:val="auto"/>
          <w:kern w:val="2"/>
          <w:sz w:val="24"/>
          <w:szCs w:val="24"/>
          <w:lang w:val="en-US" w:eastAsia="zh-CN" w:bidi="ar-SA"/>
        </w:rPr>
      </w:pPr>
      <w:r>
        <w:rPr>
          <w:rFonts w:hint="eastAsia"/>
          <w:color w:val="auto"/>
          <w:highlight w:val="none"/>
          <w:lang w:val="en-US" w:eastAsia="zh-CN"/>
        </w:rPr>
        <w:t>2.</w:t>
      </w:r>
      <w:r>
        <w:rPr>
          <w:rFonts w:hint="eastAsia"/>
          <w:color w:val="auto"/>
          <w:highlight w:val="none"/>
          <w:lang w:eastAsia="zh-CN"/>
        </w:rPr>
        <w:t>供应商承诺，提供</w:t>
      </w:r>
      <w:r>
        <w:rPr>
          <w:rFonts w:hint="eastAsia"/>
          <w:color w:val="auto"/>
          <w:highlight w:val="none"/>
          <w:lang w:val="en-US" w:eastAsia="zh-CN"/>
        </w:rPr>
        <w:t>设备检测项目</w:t>
      </w:r>
      <w:r>
        <w:rPr>
          <w:rFonts w:hint="eastAsia"/>
          <w:color w:val="auto"/>
          <w:highlight w:val="none"/>
          <w:lang w:eastAsia="zh-CN"/>
        </w:rPr>
        <w:t>所需</w:t>
      </w:r>
      <w:r>
        <w:rPr>
          <w:rFonts w:hint="eastAsia" w:hAnsi="宋体" w:cs="Times New Roman"/>
          <w:b w:val="0"/>
          <w:bCs/>
          <w:color w:val="auto"/>
          <w:kern w:val="2"/>
          <w:sz w:val="24"/>
          <w:szCs w:val="24"/>
          <w:lang w:val="en-US" w:eastAsia="zh-CN" w:bidi="ar-SA"/>
        </w:rPr>
        <w:t>的各种</w:t>
      </w:r>
      <w:r>
        <w:rPr>
          <w:rFonts w:hint="eastAsia"/>
          <w:color w:val="auto"/>
          <w:highlight w:val="none"/>
          <w:lang w:eastAsia="zh-CN"/>
        </w:rPr>
        <w:t>校准品、质控品、清洗液、反应杯等，</w:t>
      </w:r>
      <w:r>
        <w:rPr>
          <w:rFonts w:hint="eastAsia"/>
          <w:color w:val="auto"/>
          <w:lang w:val="en-US" w:eastAsia="zh-CN"/>
        </w:rPr>
        <w:t>纳入配套试剂中计算，不再支付一切相关费用。</w:t>
      </w:r>
    </w:p>
    <w:p w14:paraId="5F5A0540">
      <w:pPr>
        <w:pStyle w:val="25"/>
        <w:bidi w:val="0"/>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资料更新：配送期内，如果供应商或制造商的产品或资质进行更新的，供应商应及时通知采购人，完成相关产品的资料更新。</w:t>
      </w:r>
    </w:p>
    <w:p w14:paraId="61F66BFA">
      <w:pPr>
        <w:pStyle w:val="25"/>
        <w:bidi w:val="0"/>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 xml:space="preserve">配送期内，产品质量经权威机构鉴定不符合质量要求的，由供应商进行免费包换、包退（指产品整体、并非某一单独部件），并承担调换或退货全部费用，因此给采购人及其患者造成损失的，还应赔偿相应的损失费或纠纷赔偿费。 </w:t>
      </w:r>
    </w:p>
    <w:p w14:paraId="3C97BA38">
      <w:pPr>
        <w:pStyle w:val="25"/>
        <w:bidi w:val="0"/>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 xml:space="preserve">在耗材验收或使用过程中如发现所提供的耗材存在质量问题，供应商应该在1小时内做出响应，2小时内到达现场，确属不合格的应当拒收，该过程发生的一切费用由供应商承担（提供承诺书）。 </w:t>
      </w:r>
    </w:p>
    <w:p w14:paraId="1D291829">
      <w:pPr>
        <w:pStyle w:val="25"/>
        <w:bidi w:val="0"/>
        <w:rPr>
          <w:rFonts w:hint="eastAsia"/>
          <w:color w:val="auto"/>
          <w:highlight w:val="none"/>
          <w:lang w:eastAsia="zh-CN"/>
        </w:rPr>
      </w:pPr>
      <w:r>
        <w:rPr>
          <w:rFonts w:hint="eastAsia"/>
          <w:color w:val="auto"/>
          <w:highlight w:val="none"/>
          <w:lang w:val="en-US" w:eastAsia="zh-CN"/>
        </w:rPr>
        <w:t>6.</w:t>
      </w:r>
      <w:r>
        <w:rPr>
          <w:rFonts w:hint="eastAsia"/>
          <w:color w:val="auto"/>
          <w:highlight w:val="none"/>
          <w:lang w:eastAsia="zh-CN"/>
        </w:rPr>
        <w:t>发生产品质量问题和不良事件的，采购人直接选择换货时，供应商应当免费更换合同约定的产品。</w:t>
      </w:r>
    </w:p>
    <w:p w14:paraId="6EFE580D">
      <w:pPr>
        <w:pStyle w:val="25"/>
        <w:bidi w:val="0"/>
        <w:rPr>
          <w:rFonts w:hint="eastAsia"/>
          <w:color w:val="auto"/>
          <w:highlight w:val="none"/>
          <w:lang w:eastAsia="zh-CN"/>
        </w:rPr>
      </w:pPr>
      <w:r>
        <w:rPr>
          <w:rFonts w:hint="eastAsia"/>
          <w:color w:val="auto"/>
          <w:highlight w:val="none"/>
          <w:lang w:val="en-US" w:eastAsia="zh-CN"/>
        </w:rPr>
        <w:t>7.</w:t>
      </w:r>
      <w:r>
        <w:rPr>
          <w:rFonts w:hint="eastAsia"/>
          <w:color w:val="auto"/>
          <w:highlight w:val="none"/>
          <w:lang w:eastAsia="zh-CN"/>
        </w:rPr>
        <w:t>符合换货条件，因无同规格型号、同样式的产品，供应商应调换不低于合同货物规格且采购人同意的其他规格型号和样式的产品。供应商不得向采购人提供残次产品、不合格产品或者修理过的产品。</w:t>
      </w:r>
    </w:p>
    <w:p w14:paraId="41975BD9">
      <w:pPr>
        <w:pStyle w:val="25"/>
        <w:bidi w:val="0"/>
        <w:rPr>
          <w:rFonts w:hint="eastAsia"/>
          <w:color w:val="auto"/>
          <w:highlight w:val="none"/>
          <w:lang w:eastAsia="zh-CN"/>
        </w:rPr>
      </w:pPr>
      <w:r>
        <w:rPr>
          <w:rFonts w:hint="eastAsia"/>
          <w:color w:val="auto"/>
          <w:highlight w:val="none"/>
          <w:lang w:val="en-US" w:eastAsia="zh-CN"/>
        </w:rPr>
        <w:t>8.</w:t>
      </w:r>
      <w:r>
        <w:rPr>
          <w:rFonts w:hint="eastAsia"/>
          <w:color w:val="auto"/>
          <w:highlight w:val="none"/>
          <w:lang w:eastAsia="zh-CN"/>
        </w:rPr>
        <w:t>换货后，产品质保期自所换货物经验收合格之日起重新计算。</w:t>
      </w:r>
    </w:p>
    <w:p w14:paraId="4D24AC1D">
      <w:pPr>
        <w:pStyle w:val="25"/>
        <w:bidi w:val="0"/>
        <w:rPr>
          <w:rFonts w:hint="eastAsia"/>
          <w:color w:val="auto"/>
          <w:highlight w:val="none"/>
          <w:lang w:eastAsia="zh-CN"/>
        </w:rPr>
      </w:pPr>
      <w:r>
        <w:rPr>
          <w:rFonts w:hint="eastAsia"/>
          <w:color w:val="auto"/>
          <w:highlight w:val="none"/>
          <w:lang w:val="en-US" w:eastAsia="zh-CN"/>
        </w:rPr>
        <w:t>9.</w:t>
      </w:r>
      <w:r>
        <w:rPr>
          <w:rFonts w:hint="eastAsia"/>
          <w:color w:val="auto"/>
          <w:highlight w:val="none"/>
          <w:lang w:eastAsia="zh-CN"/>
        </w:rPr>
        <w:t>因产品质量问题给采购人或采购人服务对象（患者）造成损失的，供应商应按有关法律、法规的规定、合同约定进行赔偿。</w:t>
      </w:r>
    </w:p>
    <w:p w14:paraId="6B95333E">
      <w:pPr>
        <w:pStyle w:val="25"/>
        <w:bidi w:val="0"/>
        <w:rPr>
          <w:rFonts w:hint="eastAsia"/>
          <w:color w:val="auto"/>
          <w:highlight w:val="none"/>
          <w:lang w:eastAsia="zh-CN"/>
        </w:rPr>
      </w:pPr>
      <w:r>
        <w:rPr>
          <w:rFonts w:hint="eastAsia"/>
          <w:color w:val="auto"/>
          <w:highlight w:val="none"/>
          <w:lang w:val="en-US" w:eastAsia="zh-CN"/>
        </w:rPr>
        <w:t>10.</w:t>
      </w:r>
      <w:r>
        <w:rPr>
          <w:rFonts w:hint="eastAsia"/>
          <w:color w:val="auto"/>
          <w:highlight w:val="none"/>
          <w:lang w:eastAsia="zh-CN"/>
        </w:rPr>
        <w:t>供应商承诺，相关耗材和试剂按国家要求进行采购，遵守和执行国家和重庆市耗材管理相关规定和政策（供应商须在响应文件中递交针对此项要求的承诺函，否则其</w:t>
      </w:r>
      <w:r>
        <w:rPr>
          <w:rFonts w:hint="eastAsia"/>
          <w:color w:val="auto"/>
          <w:highlight w:val="none"/>
          <w:lang w:val="en-US" w:eastAsia="zh-CN"/>
        </w:rPr>
        <w:t>响应</w:t>
      </w:r>
      <w:r>
        <w:rPr>
          <w:rFonts w:hint="eastAsia"/>
          <w:color w:val="auto"/>
          <w:highlight w:val="none"/>
          <w:lang w:eastAsia="zh-CN"/>
        </w:rPr>
        <w:t>将被否决），实现药交所平台上线。</w:t>
      </w:r>
    </w:p>
    <w:p w14:paraId="624AC1B1">
      <w:pPr>
        <w:pStyle w:val="25"/>
        <w:bidi w:val="0"/>
        <w:rPr>
          <w:rFonts w:hint="eastAsia"/>
          <w:color w:val="auto"/>
          <w:highlight w:val="none"/>
          <w:lang w:eastAsia="zh-CN"/>
        </w:rPr>
      </w:pPr>
      <w:r>
        <w:rPr>
          <w:rFonts w:hint="eastAsia"/>
          <w:color w:val="auto"/>
          <w:highlight w:val="none"/>
          <w:lang w:val="en-US" w:eastAsia="zh-CN"/>
        </w:rPr>
        <w:t>11.</w:t>
      </w:r>
      <w:r>
        <w:rPr>
          <w:rFonts w:hint="eastAsia"/>
          <w:color w:val="auto"/>
          <w:highlight w:val="none"/>
          <w:lang w:eastAsia="zh-CN"/>
        </w:rPr>
        <w:t>在重庆地区实现医保码赋码管理，耗材供应应该遵循经济、适用且符合物价收费标准等原则。</w:t>
      </w:r>
    </w:p>
    <w:p w14:paraId="5A5C7FF6">
      <w:pPr>
        <w:pStyle w:val="25"/>
        <w:bidi w:val="0"/>
        <w:rPr>
          <w:rFonts w:hint="eastAsia"/>
          <w:color w:val="auto"/>
          <w:highlight w:val="none"/>
          <w:lang w:eastAsia="zh-CN"/>
        </w:rPr>
      </w:pPr>
      <w:r>
        <w:rPr>
          <w:rFonts w:hint="eastAsia"/>
          <w:color w:val="auto"/>
          <w:highlight w:val="none"/>
          <w:lang w:val="en-US" w:eastAsia="zh-CN"/>
        </w:rPr>
        <w:t>12.耗材报价</w:t>
      </w:r>
      <w:r>
        <w:rPr>
          <w:rFonts w:hint="eastAsia"/>
          <w:color w:val="auto"/>
          <w:highlight w:val="none"/>
          <w:lang w:eastAsia="zh-CN"/>
        </w:rPr>
        <w:t xml:space="preserve">所列收费标准以重庆市医疗服务价格项目目录价格为准。采购人为三级医院，但所有检验项目按二级医院标准收费。 </w:t>
      </w:r>
    </w:p>
    <w:p w14:paraId="5EDEA145">
      <w:pPr>
        <w:pStyle w:val="25"/>
        <w:bidi w:val="0"/>
        <w:rPr>
          <w:rFonts w:hint="eastAsia"/>
          <w:color w:val="auto"/>
          <w:highlight w:val="none"/>
          <w:lang w:eastAsia="zh-CN"/>
        </w:rPr>
      </w:pPr>
      <w:r>
        <w:rPr>
          <w:rFonts w:hint="eastAsia"/>
          <w:color w:val="auto"/>
          <w:highlight w:val="none"/>
          <w:lang w:val="en-US" w:eastAsia="zh-CN"/>
        </w:rPr>
        <w:t>13.</w:t>
      </w:r>
      <w:r>
        <w:rPr>
          <w:rFonts w:hint="eastAsia"/>
          <w:color w:val="auto"/>
          <w:highlight w:val="none"/>
          <w:lang w:eastAsia="zh-CN"/>
        </w:rPr>
        <w:t>每次供货数量、时间及规格型号以采购人通知或下发的采购清单为准。供应商在</w:t>
      </w:r>
      <w:r>
        <w:rPr>
          <w:rFonts w:hint="eastAsia"/>
          <w:color w:val="auto"/>
          <w:highlight w:val="none"/>
          <w:lang w:val="en-US" w:eastAsia="zh-CN"/>
        </w:rPr>
        <w:t>响应</w:t>
      </w:r>
      <w:r>
        <w:rPr>
          <w:rFonts w:hint="eastAsia"/>
          <w:color w:val="auto"/>
          <w:highlight w:val="none"/>
          <w:lang w:eastAsia="zh-CN"/>
        </w:rPr>
        <w:t>报价时，应充分考虑我院目前发展现状，结合市场行情、风险及自身状况报价。</w:t>
      </w:r>
    </w:p>
    <w:p w14:paraId="76EC81CE">
      <w:pPr>
        <w:pStyle w:val="25"/>
        <w:bidi w:val="0"/>
        <w:rPr>
          <w:rFonts w:hint="eastAsia"/>
          <w:color w:val="auto"/>
          <w:highlight w:val="none"/>
          <w:lang w:eastAsia="zh-CN"/>
        </w:rPr>
      </w:pPr>
      <w:r>
        <w:rPr>
          <w:rFonts w:hint="eastAsia"/>
          <w:color w:val="auto"/>
          <w:highlight w:val="none"/>
          <w:lang w:val="en-US" w:eastAsia="zh-CN"/>
        </w:rPr>
        <w:t>14.</w:t>
      </w:r>
      <w:r>
        <w:rPr>
          <w:rFonts w:hint="eastAsia"/>
          <w:color w:val="auto"/>
          <w:highlight w:val="none"/>
          <w:lang w:eastAsia="zh-CN"/>
        </w:rPr>
        <w:t>供应商须构建健全的医疗冷链物流系统与信息服务体系，以确保检测试剂、耗材在运输过程中的绝对安全与质量稳定。</w:t>
      </w:r>
    </w:p>
    <w:p w14:paraId="23C28368">
      <w:pPr>
        <w:pStyle w:val="25"/>
        <w:bidi w:val="0"/>
        <w:rPr>
          <w:rFonts w:hint="eastAsia"/>
          <w:color w:val="auto"/>
          <w:highlight w:val="none"/>
          <w:lang w:eastAsia="zh-CN"/>
        </w:rPr>
      </w:pPr>
      <w:r>
        <w:rPr>
          <w:rFonts w:hint="eastAsia"/>
          <w:color w:val="auto"/>
          <w:highlight w:val="none"/>
          <w:lang w:val="en-US" w:eastAsia="zh-CN"/>
        </w:rPr>
        <w:t>15.</w:t>
      </w:r>
      <w:r>
        <w:rPr>
          <w:rFonts w:hint="eastAsia"/>
          <w:color w:val="auto"/>
          <w:highlight w:val="none"/>
          <w:lang w:eastAsia="zh-CN"/>
        </w:rPr>
        <w:t>政策调整：在双方履行执行中，如果响应文件和协议与上级要求有冲突，双方按照上级要求执行，</w:t>
      </w:r>
      <w:r>
        <w:rPr>
          <w:rFonts w:hint="eastAsia"/>
          <w:color w:val="auto"/>
          <w:highlight w:val="none"/>
          <w:lang w:val="en-US" w:eastAsia="zh-CN"/>
        </w:rPr>
        <w:t>采购人</w:t>
      </w:r>
      <w:r>
        <w:rPr>
          <w:rFonts w:hint="eastAsia"/>
          <w:color w:val="auto"/>
          <w:highlight w:val="none"/>
          <w:lang w:eastAsia="zh-CN"/>
        </w:rPr>
        <w:t>不为此承担任何责任。若耗材采购因上级政策调整的，如耗材集中带量采购，应该无条件支持和配合相关政策调整，但</w:t>
      </w:r>
      <w:r>
        <w:rPr>
          <w:rFonts w:hint="eastAsia"/>
          <w:color w:val="auto"/>
          <w:highlight w:val="none"/>
          <w:lang w:val="en-US" w:eastAsia="zh-CN"/>
        </w:rPr>
        <w:t>试剂结算价格不能超过报价的耗材金额（药交所试剂金额低于耗材报价金额的，按照低价据实结算）</w:t>
      </w:r>
      <w:r>
        <w:rPr>
          <w:rFonts w:hint="eastAsia"/>
          <w:color w:val="auto"/>
          <w:highlight w:val="none"/>
          <w:lang w:eastAsia="zh-CN"/>
        </w:rPr>
        <w:t>。</w:t>
      </w:r>
    </w:p>
    <w:p w14:paraId="497036A0">
      <w:pPr>
        <w:pStyle w:val="25"/>
        <w:bidi w:val="0"/>
        <w:rPr>
          <w:rFonts w:hint="eastAsia"/>
          <w:color w:val="auto"/>
          <w:highlight w:val="none"/>
          <w:lang w:eastAsia="zh-CN"/>
        </w:rPr>
      </w:pPr>
      <w:r>
        <w:rPr>
          <w:rFonts w:hint="eastAsia"/>
          <w:color w:val="auto"/>
          <w:highlight w:val="none"/>
          <w:lang w:val="en-US" w:eastAsia="zh-CN"/>
        </w:rPr>
        <w:t>16.</w:t>
      </w:r>
      <w:r>
        <w:rPr>
          <w:rFonts w:hint="eastAsia"/>
          <w:color w:val="auto"/>
          <w:highlight w:val="none"/>
          <w:lang w:eastAsia="zh-CN"/>
        </w:rPr>
        <w:t>提供试剂原则上为设备原厂配套试剂，若非设备原厂配套试剂须承诺在</w:t>
      </w:r>
      <w:r>
        <w:rPr>
          <w:rFonts w:hint="eastAsia"/>
          <w:color w:val="auto"/>
          <w:highlight w:val="none"/>
          <w:lang w:val="en-US" w:eastAsia="zh-CN"/>
        </w:rPr>
        <w:t>采购人</w:t>
      </w:r>
      <w:r>
        <w:rPr>
          <w:rFonts w:hint="eastAsia"/>
          <w:color w:val="auto"/>
          <w:highlight w:val="none"/>
          <w:lang w:eastAsia="zh-CN"/>
        </w:rPr>
        <w:t xml:space="preserve">使用前通过性能验证（提供承诺书）。 </w:t>
      </w:r>
    </w:p>
    <w:p w14:paraId="048CBFFB">
      <w:pPr>
        <w:pStyle w:val="25"/>
        <w:bidi w:val="0"/>
        <w:rPr>
          <w:rFonts w:hint="eastAsia"/>
          <w:color w:val="auto"/>
          <w:highlight w:val="none"/>
          <w:lang w:eastAsia="zh-CN"/>
        </w:rPr>
      </w:pPr>
      <w:r>
        <w:rPr>
          <w:rFonts w:hint="eastAsia"/>
          <w:color w:val="auto"/>
          <w:highlight w:val="none"/>
          <w:lang w:val="en-US" w:eastAsia="zh-CN"/>
        </w:rPr>
        <w:t>17.</w:t>
      </w:r>
      <w:r>
        <w:rPr>
          <w:rFonts w:hint="eastAsia"/>
          <w:color w:val="auto"/>
          <w:highlight w:val="none"/>
          <w:lang w:eastAsia="zh-CN"/>
        </w:rPr>
        <w:t>应当配合采购人的管理制度和考核办法，根据考核情况接受包括停止配送服务合同、赔偿损失等责任。</w:t>
      </w:r>
    </w:p>
    <w:p w14:paraId="43746B41">
      <w:pPr>
        <w:pStyle w:val="26"/>
        <w:numPr>
          <w:ilvl w:val="0"/>
          <w:numId w:val="0"/>
        </w:numPr>
        <w:bidi w:val="0"/>
        <w:ind w:leftChars="200"/>
        <w:rPr>
          <w:rFonts w:hint="eastAsia"/>
          <w:color w:val="auto"/>
          <w:lang w:val="en-US" w:eastAsia="zh-CN"/>
        </w:rPr>
      </w:pPr>
      <w:r>
        <w:rPr>
          <w:rFonts w:hint="eastAsia"/>
          <w:color w:val="auto"/>
          <w:lang w:val="en-US" w:eastAsia="zh-CN"/>
        </w:rPr>
        <w:t>※五、检验设备交付和维保要求</w:t>
      </w:r>
    </w:p>
    <w:p w14:paraId="29E6931B">
      <w:pPr>
        <w:pStyle w:val="25"/>
        <w:bidi w:val="0"/>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供应商需免费提供检验</w:t>
      </w:r>
      <w:r>
        <w:rPr>
          <w:rFonts w:hint="eastAsia"/>
          <w:color w:val="auto"/>
          <w:highlight w:val="none"/>
          <w:lang w:val="en-US" w:eastAsia="zh-CN"/>
        </w:rPr>
        <w:t>项目</w:t>
      </w:r>
      <w:r>
        <w:rPr>
          <w:rFonts w:hint="eastAsia"/>
          <w:color w:val="auto"/>
          <w:highlight w:val="none"/>
          <w:lang w:eastAsia="zh-CN"/>
        </w:rPr>
        <w:t>辅助设备如：移液器、移液管、打印机等，确保检验</w:t>
      </w:r>
      <w:r>
        <w:rPr>
          <w:rFonts w:hint="eastAsia"/>
          <w:color w:val="auto"/>
          <w:highlight w:val="none"/>
          <w:lang w:val="en-US" w:eastAsia="zh-CN"/>
        </w:rPr>
        <w:t>项目</w:t>
      </w:r>
      <w:r>
        <w:rPr>
          <w:rFonts w:hint="eastAsia"/>
          <w:color w:val="auto"/>
          <w:highlight w:val="none"/>
          <w:lang w:eastAsia="zh-CN"/>
        </w:rPr>
        <w:t>能够</w:t>
      </w:r>
      <w:r>
        <w:rPr>
          <w:rFonts w:hint="eastAsia"/>
          <w:color w:val="auto"/>
          <w:highlight w:val="none"/>
          <w:lang w:val="en-US" w:eastAsia="zh-CN"/>
        </w:rPr>
        <w:t>正常</w:t>
      </w:r>
      <w:r>
        <w:rPr>
          <w:rFonts w:hint="eastAsia"/>
          <w:color w:val="auto"/>
          <w:highlight w:val="none"/>
          <w:lang w:eastAsia="zh-CN"/>
        </w:rPr>
        <w:t>运行。</w:t>
      </w:r>
    </w:p>
    <w:p w14:paraId="0D6284D7">
      <w:pPr>
        <w:pStyle w:val="25"/>
        <w:bidi w:val="0"/>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供应商负责所售仪器、设备的日常维修、保养、年度校准及定标、质控、室内比对和性能验证以及配件更换工作。</w:t>
      </w:r>
    </w:p>
    <w:p w14:paraId="593016C1">
      <w:pPr>
        <w:pStyle w:val="25"/>
        <w:bidi w:val="0"/>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维修配件：供应商和厂家售后服务中，使用的维修零配件应为原厂原装全新配件，质保期内故障处置与备件更换不限次数，未经采购人书面同意不得使用非原厂配件，承诺和保证产品停产后至少十年内都有备品备件等零配件的供应。</w:t>
      </w:r>
    </w:p>
    <w:p w14:paraId="32A292DA">
      <w:pPr>
        <w:pStyle w:val="25"/>
        <w:bidi w:val="0"/>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 xml:space="preserve">当出现重要检测部件故障时，在修复或更换后，需执行校准验证、室内质控或比对。在使用新批号试剂前，需进行新旧试剂批间差验证，适时调整室内质控靶，必要时实施校准，修改生物参考区间。室内质控、日常标本的复查及异常标本的处置均需参照采购人相关SOP执行。 </w:t>
      </w:r>
    </w:p>
    <w:p w14:paraId="71014BEB">
      <w:pPr>
        <w:pStyle w:val="25"/>
        <w:bidi w:val="0"/>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若采购人所购买的产品需要维修密码，签订采购合同前，供应商和设备生产厂家需承诺向采购人免费提供维修密码，并出具承诺函（格式自拟）。</w:t>
      </w:r>
    </w:p>
    <w:p w14:paraId="530E0860">
      <w:pPr>
        <w:pStyle w:val="25"/>
        <w:bidi w:val="0"/>
        <w:rPr>
          <w:rFonts w:hint="eastAsia"/>
          <w:color w:val="auto"/>
          <w:highlight w:val="none"/>
          <w:lang w:eastAsia="zh-CN"/>
        </w:rPr>
      </w:pPr>
      <w:r>
        <w:rPr>
          <w:rFonts w:hint="eastAsia"/>
          <w:color w:val="auto"/>
          <w:highlight w:val="none"/>
          <w:lang w:val="en-US" w:eastAsia="zh-CN"/>
        </w:rPr>
        <w:t>6.</w:t>
      </w:r>
      <w:r>
        <w:rPr>
          <w:rFonts w:hint="eastAsia"/>
          <w:color w:val="auto"/>
          <w:highlight w:val="none"/>
          <w:lang w:eastAsia="zh-CN"/>
        </w:rPr>
        <w:t>备件：如有备件，供应商应向采购人提供一套标准备件包，并列出清单及单价。（响应文件中提供清单，格式自拟）</w:t>
      </w:r>
    </w:p>
    <w:p w14:paraId="492BBDB4">
      <w:pPr>
        <w:pStyle w:val="25"/>
        <w:bidi w:val="0"/>
        <w:rPr>
          <w:rFonts w:hint="eastAsia"/>
          <w:color w:val="auto"/>
          <w:highlight w:val="none"/>
          <w:lang w:eastAsia="zh-CN"/>
        </w:rPr>
      </w:pPr>
      <w:r>
        <w:rPr>
          <w:rFonts w:hint="eastAsia"/>
          <w:color w:val="auto"/>
          <w:highlight w:val="none"/>
          <w:lang w:val="en-US" w:eastAsia="zh-CN"/>
        </w:rPr>
        <w:t>7.</w:t>
      </w:r>
      <w:r>
        <w:rPr>
          <w:rFonts w:hint="eastAsia"/>
          <w:color w:val="auto"/>
          <w:highlight w:val="none"/>
          <w:lang w:eastAsia="zh-CN"/>
        </w:rPr>
        <w:t>采购人需要设备生产厂家对供应商交付的产品（包括质量、技术参数等）进行确认的，供应商保证设备生产厂家予以确认，并保证设备生产厂家出具书面的确认意见。供应商如为代理商，签订合同后须提供所投产品的品牌代理授权，同时附制造商售后服务承诺。</w:t>
      </w:r>
    </w:p>
    <w:p w14:paraId="4C021B49">
      <w:pPr>
        <w:pStyle w:val="25"/>
        <w:bidi w:val="0"/>
        <w:rPr>
          <w:rFonts w:hint="eastAsia"/>
          <w:color w:val="auto"/>
          <w:highlight w:val="none"/>
          <w:lang w:eastAsia="zh-CN"/>
        </w:rPr>
      </w:pPr>
      <w:r>
        <w:rPr>
          <w:rFonts w:hint="eastAsia"/>
          <w:color w:val="auto"/>
          <w:highlight w:val="none"/>
          <w:lang w:val="en-US" w:eastAsia="zh-CN"/>
        </w:rPr>
        <w:t>8.</w:t>
      </w:r>
      <w:r>
        <w:rPr>
          <w:rFonts w:hint="eastAsia"/>
          <w:color w:val="auto"/>
          <w:highlight w:val="none"/>
          <w:lang w:eastAsia="zh-CN"/>
        </w:rPr>
        <w:t>安全责任：供应商应加强安全生产管理，须遵守设备安装作业操作规程、安全规章制度及相关法律法规。供应商在履行本项目/本合同过程中（包括但不限于送货、运输、交货、安装、调试、验收、维修维保等）发生的安全责任事故（包括造成供应商、采购人、第三方人身伤亡、财产损失等事故），由此产生的所有法律责任和经济赔偿责任均由供应商承担，采购人不承担责任。</w:t>
      </w:r>
    </w:p>
    <w:p w14:paraId="127C08F8">
      <w:pPr>
        <w:pStyle w:val="25"/>
        <w:bidi w:val="0"/>
        <w:rPr>
          <w:rFonts w:hint="eastAsia"/>
          <w:color w:val="auto"/>
          <w:highlight w:val="none"/>
          <w:lang w:eastAsia="zh-CN"/>
        </w:rPr>
      </w:pPr>
      <w:r>
        <w:rPr>
          <w:rFonts w:hint="eastAsia"/>
          <w:color w:val="auto"/>
          <w:highlight w:val="none"/>
          <w:lang w:val="en-US" w:eastAsia="zh-CN"/>
        </w:rPr>
        <w:t>9.</w:t>
      </w:r>
      <w:r>
        <w:rPr>
          <w:rFonts w:hint="eastAsia"/>
          <w:color w:val="auto"/>
          <w:highlight w:val="none"/>
          <w:lang w:eastAsia="zh-CN"/>
        </w:rPr>
        <w:t>履约过程中，因供应商履约行为导致的任何纠纷或投诉、任何争议责任的调查确定及责任承担，均由供应商自行应对和负责。</w:t>
      </w:r>
    </w:p>
    <w:p w14:paraId="68A0C0EE">
      <w:pPr>
        <w:pStyle w:val="25"/>
        <w:bidi w:val="0"/>
        <w:rPr>
          <w:rFonts w:hint="eastAsia"/>
          <w:color w:val="auto"/>
          <w:highlight w:val="none"/>
          <w:lang w:eastAsia="zh-CN"/>
        </w:rPr>
      </w:pPr>
      <w:r>
        <w:rPr>
          <w:rFonts w:hint="eastAsia"/>
          <w:color w:val="auto"/>
          <w:highlight w:val="none"/>
          <w:lang w:val="en-US" w:eastAsia="zh-CN"/>
        </w:rPr>
        <w:t>10.</w:t>
      </w:r>
      <w:r>
        <w:rPr>
          <w:rFonts w:hint="eastAsia"/>
          <w:color w:val="auto"/>
          <w:highlight w:val="none"/>
          <w:lang w:eastAsia="zh-CN"/>
        </w:rPr>
        <w:t>安装、运输和保险：供应商负责设备的运输、安装及保险，设备安装并调试正常运行后才进行验收，设备验收前的毁损、丢失等风险由供应商承担。</w:t>
      </w:r>
    </w:p>
    <w:p w14:paraId="148FAF1F">
      <w:pPr>
        <w:pStyle w:val="25"/>
        <w:bidi w:val="0"/>
        <w:rPr>
          <w:rFonts w:hint="eastAsia"/>
          <w:color w:val="auto"/>
          <w:highlight w:val="none"/>
          <w:lang w:eastAsia="zh-CN"/>
        </w:rPr>
      </w:pPr>
      <w:r>
        <w:rPr>
          <w:rFonts w:hint="eastAsia"/>
          <w:color w:val="auto"/>
          <w:highlight w:val="none"/>
          <w:lang w:val="en-US" w:eastAsia="zh-CN"/>
        </w:rPr>
        <w:t>11.</w:t>
      </w:r>
      <w:r>
        <w:rPr>
          <w:rFonts w:hint="eastAsia"/>
          <w:color w:val="auto"/>
          <w:highlight w:val="none"/>
          <w:lang w:eastAsia="zh-CN"/>
        </w:rPr>
        <w:t>信息接口：凡涉及与采购人HIS、LIS、PACS、电生理系统、病理信息系统等第三方系统连接的设备及软件，要求具有标准数字接口，不在设置接口屏障和另行收费，若投标产品没有匹配的接口，由供应商负责改造并承担相应费用，保证采购人的正常使用。根据采购人的需求，如需PACS高清采集卡、院内设备精细化管理软件设备视频采集器，供应商免费提供并负责安装。</w:t>
      </w:r>
    </w:p>
    <w:p w14:paraId="20B4E005">
      <w:pPr>
        <w:pStyle w:val="25"/>
        <w:bidi w:val="0"/>
        <w:rPr>
          <w:rFonts w:hint="eastAsia"/>
          <w:color w:val="auto"/>
          <w:highlight w:val="none"/>
          <w:lang w:eastAsia="zh-CN"/>
        </w:rPr>
      </w:pPr>
      <w:r>
        <w:rPr>
          <w:rFonts w:hint="eastAsia"/>
          <w:color w:val="auto"/>
          <w:highlight w:val="none"/>
          <w:lang w:val="en-US" w:eastAsia="zh-CN"/>
        </w:rPr>
        <w:t>12.</w:t>
      </w:r>
      <w:r>
        <w:rPr>
          <w:rFonts w:hint="eastAsia"/>
          <w:color w:val="auto"/>
          <w:highlight w:val="none"/>
          <w:lang w:eastAsia="zh-CN"/>
        </w:rPr>
        <w:t>货物验收：产品在安装调试试运行符合要求后，采购人认为有必要的，可以由采购人邀请经认可的且具有国家检测资质的第三方机构进行验收检测并出具相应的验收报告。检测机构提供合格的验收报告，检测费用由供应商承担。</w:t>
      </w:r>
    </w:p>
    <w:p w14:paraId="63077C56">
      <w:pPr>
        <w:pStyle w:val="25"/>
        <w:bidi w:val="0"/>
        <w:rPr>
          <w:rFonts w:hint="eastAsia"/>
          <w:color w:val="auto"/>
          <w:highlight w:val="none"/>
          <w:lang w:eastAsia="zh-CN"/>
        </w:rPr>
      </w:pPr>
      <w:r>
        <w:rPr>
          <w:rFonts w:hint="eastAsia"/>
          <w:color w:val="auto"/>
          <w:highlight w:val="none"/>
          <w:lang w:val="en-US" w:eastAsia="zh-CN"/>
        </w:rPr>
        <w:t>13.</w:t>
      </w:r>
      <w:r>
        <w:rPr>
          <w:rFonts w:hint="eastAsia"/>
          <w:color w:val="auto"/>
          <w:highlight w:val="none"/>
          <w:lang w:eastAsia="zh-CN"/>
        </w:rPr>
        <w:t>出厂检验合格：供应商应当保证所交付的商品通过生产厂家的出厂检验，并根据项目要求向采购人提供质量合格证明材料。即使商品的原材料、成品抽检合格及质量验收合格并不免除供应商提供不合格商品而应当承担的责任。若供应商交付的设备存在任何质量问题，采购人仍有权要求供应商承担补货、退换货、支付违约金、赔偿损失和解除合同等责任。</w:t>
      </w:r>
    </w:p>
    <w:p w14:paraId="14B45836">
      <w:pPr>
        <w:pStyle w:val="25"/>
        <w:bidi w:val="0"/>
        <w:rPr>
          <w:rFonts w:hint="eastAsia"/>
          <w:color w:val="auto"/>
          <w:highlight w:val="none"/>
          <w:lang w:eastAsia="zh-CN"/>
        </w:rPr>
      </w:pPr>
      <w:r>
        <w:rPr>
          <w:rFonts w:hint="eastAsia"/>
          <w:color w:val="auto"/>
          <w:highlight w:val="none"/>
          <w:lang w:val="en-US" w:eastAsia="zh-CN"/>
        </w:rPr>
        <w:t>14.</w:t>
      </w:r>
      <w:r>
        <w:rPr>
          <w:rFonts w:hint="eastAsia"/>
          <w:color w:val="auto"/>
          <w:highlight w:val="none"/>
          <w:lang w:eastAsia="zh-CN"/>
        </w:rPr>
        <w:t>知识产权：按国家相关规定执行，应保证在本项目使用的任何产品和服务时，不会产生因第三方提出侵犯其专利权、商标权或其它知识产权而引起的法律和经济纠纷。任何第三方如果提出侵权指控，供应商须应及时解决，与第三方交涉并承担可能发生的责任与一切费用。供应商应保证指控与采购人无关，并承担由此而引起的一切法律责任和费用。供应商违反本条保证给采购人造成的损失，均由供应商承担。</w:t>
      </w:r>
    </w:p>
    <w:p w14:paraId="65ADE193">
      <w:pPr>
        <w:pStyle w:val="25"/>
        <w:bidi w:val="0"/>
        <w:rPr>
          <w:rFonts w:hint="eastAsia"/>
          <w:color w:val="auto"/>
          <w:highlight w:val="none"/>
          <w:lang w:eastAsia="zh-CN"/>
        </w:rPr>
      </w:pPr>
      <w:r>
        <w:rPr>
          <w:rFonts w:hint="eastAsia"/>
          <w:color w:val="auto"/>
          <w:highlight w:val="none"/>
          <w:lang w:val="en-US" w:eastAsia="zh-CN"/>
        </w:rPr>
        <w:t>15.</w:t>
      </w:r>
      <w:r>
        <w:rPr>
          <w:rFonts w:hint="eastAsia"/>
          <w:color w:val="auto"/>
          <w:highlight w:val="none"/>
          <w:lang w:eastAsia="zh-CN"/>
        </w:rPr>
        <w:t>计量检测：若供应商交付的设备属于《医疗机构实施强制管理的计量器具目录》及《常见医疗机构非强检计量器具》目录中界定的计量设备，需提供合格的计量鉴定报告证书，首次计量鉴定以及鉴定费用由供应商负责。</w:t>
      </w:r>
    </w:p>
    <w:p w14:paraId="4478A290">
      <w:pPr>
        <w:pStyle w:val="25"/>
        <w:bidi w:val="0"/>
        <w:rPr>
          <w:rFonts w:hint="eastAsia"/>
          <w:color w:val="auto"/>
          <w:highlight w:val="none"/>
          <w:lang w:eastAsia="zh-CN"/>
        </w:rPr>
      </w:pPr>
      <w:r>
        <w:rPr>
          <w:rFonts w:hint="eastAsia"/>
          <w:color w:val="auto"/>
          <w:highlight w:val="none"/>
          <w:lang w:val="en-US" w:eastAsia="zh-CN"/>
        </w:rPr>
        <w:t>16.</w:t>
      </w:r>
      <w:r>
        <w:rPr>
          <w:rFonts w:hint="eastAsia"/>
          <w:color w:val="auto"/>
          <w:highlight w:val="none"/>
          <w:lang w:eastAsia="zh-CN"/>
        </w:rPr>
        <w:t>培训义务：供应商应承担免费培训产生的费用（差旅、住宿、餐饮等相关费用），根据采购人需求提供定制化培训方案，应包括对临床人员的线上线下培训安排。供应商提供的培训方案应根据采购人的需求制定，并征得采购人同意后予以执行。培训不少于3次，做好培训记录和培训档案，直至采购人工作人员掌握所有功能、操作方法。</w:t>
      </w:r>
    </w:p>
    <w:p w14:paraId="0D8E28B1">
      <w:pPr>
        <w:pStyle w:val="25"/>
        <w:bidi w:val="0"/>
        <w:rPr>
          <w:rFonts w:hint="eastAsia"/>
          <w:color w:val="auto"/>
          <w:highlight w:val="none"/>
          <w:lang w:eastAsia="zh-CN"/>
        </w:rPr>
      </w:pPr>
      <w:r>
        <w:rPr>
          <w:rFonts w:hint="eastAsia"/>
          <w:color w:val="auto"/>
          <w:highlight w:val="none"/>
          <w:lang w:val="en-US" w:eastAsia="zh-CN"/>
        </w:rPr>
        <w:t>17.</w:t>
      </w:r>
      <w:r>
        <w:rPr>
          <w:rFonts w:hint="eastAsia"/>
          <w:color w:val="auto"/>
          <w:highlight w:val="none"/>
          <w:lang w:eastAsia="zh-CN"/>
        </w:rPr>
        <w:t>保密要求：在合同履行过程中，供应商对从采购人处获取的信息、资料、数据等（包括但不限于临床数据、设备运行检测数据、患者信息等）需严格保密，供应商需严格注意限定数据外流（临床数据严格不出院，设备运行监测数据需按工信部门相关要求条款进行监督约束）（提供承诺函，格式自定）。在未得到采购人书面同意的情况下，供应商对前述保密信息不得对任何第三方披露、展示、举例、销售，否则供应商将承担由此产生的一切后果，且每发生一次，采购人有权视情况要求供应商按照2000元/次的标准向采购人支付违约金，不足弥补损失部分仍由供应商负责赔偿。</w:t>
      </w:r>
    </w:p>
    <w:p w14:paraId="7D508648">
      <w:pPr>
        <w:pStyle w:val="25"/>
        <w:bidi w:val="0"/>
        <w:rPr>
          <w:rFonts w:hint="eastAsia"/>
          <w:color w:val="auto"/>
          <w:highlight w:val="none"/>
          <w:lang w:eastAsia="zh-CN"/>
        </w:rPr>
      </w:pPr>
      <w:r>
        <w:rPr>
          <w:rFonts w:hint="eastAsia"/>
          <w:color w:val="auto"/>
          <w:highlight w:val="none"/>
          <w:lang w:val="en-US" w:eastAsia="zh-CN"/>
        </w:rPr>
        <w:t>18.</w:t>
      </w:r>
      <w:r>
        <w:rPr>
          <w:rFonts w:hint="eastAsia"/>
          <w:color w:val="auto"/>
          <w:highlight w:val="none"/>
          <w:lang w:eastAsia="zh-CN"/>
        </w:rPr>
        <w:t>本合同约定的设备，应由成交的供应商交付，未经采购人同意，供应商不得转让合同的权利义务，将本合同约定的商品交付义务全部或部分转让给第三方。</w:t>
      </w:r>
    </w:p>
    <w:p w14:paraId="4D6E216F">
      <w:pPr>
        <w:pStyle w:val="25"/>
        <w:bidi w:val="0"/>
        <w:rPr>
          <w:rFonts w:hint="eastAsia"/>
          <w:color w:val="auto"/>
          <w:highlight w:val="none"/>
          <w:lang w:eastAsia="zh-CN"/>
        </w:rPr>
      </w:pPr>
      <w:r>
        <w:rPr>
          <w:rFonts w:hint="eastAsia"/>
          <w:color w:val="auto"/>
          <w:highlight w:val="none"/>
          <w:lang w:val="en-US" w:eastAsia="zh-CN"/>
        </w:rPr>
        <w:t>19.</w:t>
      </w:r>
      <w:r>
        <w:rPr>
          <w:rFonts w:hint="eastAsia"/>
          <w:color w:val="auto"/>
          <w:highlight w:val="none"/>
          <w:lang w:eastAsia="zh-CN"/>
        </w:rPr>
        <w:t>供应商保证对其所交付的货物拥有完全的所有权，不存在查封（或任何法院采取的强制措施）、抵押等权利瑕疵；同时保证第三方不得向采购人主张任何权利，否则，由此产生的后果均由供应商承担。</w:t>
      </w:r>
    </w:p>
    <w:p w14:paraId="2375FDD4">
      <w:pPr>
        <w:pStyle w:val="25"/>
        <w:bidi w:val="0"/>
        <w:rPr>
          <w:rFonts w:hint="eastAsia"/>
          <w:color w:val="auto"/>
          <w:highlight w:val="none"/>
          <w:lang w:eastAsia="zh-CN"/>
        </w:rPr>
      </w:pPr>
      <w:r>
        <w:rPr>
          <w:rFonts w:hint="eastAsia"/>
          <w:color w:val="auto"/>
          <w:highlight w:val="none"/>
          <w:lang w:val="en-US" w:eastAsia="zh-CN"/>
        </w:rPr>
        <w:t>20.</w:t>
      </w:r>
      <w:r>
        <w:rPr>
          <w:rFonts w:hint="eastAsia"/>
          <w:color w:val="auto"/>
          <w:highlight w:val="none"/>
          <w:lang w:eastAsia="zh-CN"/>
        </w:rPr>
        <w:t>专用工具：如有专用工具，供应商应向采购人提供设备维护维修的专用工具。</w:t>
      </w:r>
    </w:p>
    <w:p w14:paraId="043657FD">
      <w:pPr>
        <w:pStyle w:val="25"/>
        <w:bidi w:val="0"/>
        <w:rPr>
          <w:rFonts w:hint="eastAsia"/>
          <w:color w:val="auto"/>
          <w:highlight w:val="none"/>
          <w:lang w:eastAsia="zh-CN"/>
        </w:rPr>
      </w:pPr>
      <w:r>
        <w:rPr>
          <w:rFonts w:hint="eastAsia"/>
          <w:color w:val="auto"/>
          <w:highlight w:val="none"/>
          <w:lang w:val="en-US" w:eastAsia="zh-CN"/>
        </w:rPr>
        <w:t>21.</w:t>
      </w:r>
      <w:r>
        <w:rPr>
          <w:rFonts w:hint="eastAsia"/>
          <w:color w:val="auto"/>
          <w:highlight w:val="none"/>
          <w:lang w:eastAsia="zh-CN"/>
        </w:rPr>
        <w:t>供应商所</w:t>
      </w:r>
      <w:r>
        <w:rPr>
          <w:rFonts w:hint="eastAsia"/>
          <w:color w:val="auto"/>
          <w:highlight w:val="none"/>
          <w:lang w:val="en-US" w:eastAsia="zh-CN"/>
        </w:rPr>
        <w:t>交付的</w:t>
      </w:r>
      <w:r>
        <w:rPr>
          <w:rFonts w:hint="eastAsia"/>
          <w:color w:val="auto"/>
          <w:highlight w:val="none"/>
          <w:lang w:eastAsia="zh-CN"/>
        </w:rPr>
        <w:t>产品是全新、未使用过的原装合格正品，需为制造商原厂制造，设备交付时间与设备生产日期之间间隔不得超过半年，确保设备为最新产品和最新型号。</w:t>
      </w:r>
    </w:p>
    <w:p w14:paraId="3BA240E5">
      <w:pPr>
        <w:pStyle w:val="25"/>
        <w:bidi w:val="0"/>
        <w:rPr>
          <w:rFonts w:hint="eastAsia"/>
          <w:color w:val="auto"/>
          <w:highlight w:val="none"/>
          <w:lang w:eastAsia="zh-CN"/>
        </w:rPr>
      </w:pPr>
      <w:r>
        <w:rPr>
          <w:rFonts w:hint="eastAsia"/>
          <w:color w:val="auto"/>
          <w:highlight w:val="none"/>
          <w:lang w:val="en-US" w:eastAsia="zh-CN"/>
        </w:rPr>
        <w:t>22.</w:t>
      </w:r>
      <w:r>
        <w:rPr>
          <w:rFonts w:hint="eastAsia"/>
          <w:color w:val="auto"/>
          <w:highlight w:val="none"/>
          <w:lang w:eastAsia="zh-CN"/>
        </w:rPr>
        <w:t>供应商需自行考虑因产品受加征关税等其他不可预见的政策性原因影响，所导致增加部分税款，该税款由供应商自行承担。</w:t>
      </w:r>
    </w:p>
    <w:p w14:paraId="2F228243">
      <w:pPr>
        <w:pStyle w:val="25"/>
        <w:bidi w:val="0"/>
        <w:rPr>
          <w:rFonts w:hint="eastAsia"/>
          <w:color w:val="auto"/>
          <w:highlight w:val="none"/>
          <w:lang w:eastAsia="zh-CN"/>
        </w:rPr>
      </w:pPr>
      <w:r>
        <w:rPr>
          <w:rFonts w:hint="eastAsia"/>
          <w:color w:val="auto"/>
          <w:highlight w:val="none"/>
          <w:lang w:val="en-US" w:eastAsia="zh-CN"/>
        </w:rPr>
        <w:t>23.</w:t>
      </w:r>
      <w:r>
        <w:rPr>
          <w:rFonts w:hint="eastAsia"/>
          <w:color w:val="auto"/>
          <w:highlight w:val="none"/>
          <w:lang w:eastAsia="zh-CN"/>
        </w:rPr>
        <w:t>供应商提供的货物未达到采购文件规定要求，且对采购人造成损失的，由供应商承担全部赔偿责任，并赔偿采购人造成的全部损失。</w:t>
      </w:r>
    </w:p>
    <w:p w14:paraId="6913DB0C">
      <w:pPr>
        <w:pStyle w:val="25"/>
        <w:bidi w:val="0"/>
        <w:rPr>
          <w:rFonts w:hint="eastAsia"/>
          <w:color w:val="auto"/>
          <w:highlight w:val="none"/>
          <w:lang w:eastAsia="zh-CN"/>
        </w:rPr>
      </w:pPr>
      <w:r>
        <w:rPr>
          <w:rFonts w:hint="eastAsia"/>
          <w:color w:val="auto"/>
          <w:highlight w:val="none"/>
          <w:lang w:val="en-US" w:eastAsia="zh-CN"/>
        </w:rPr>
        <w:t>24.</w:t>
      </w:r>
      <w:r>
        <w:rPr>
          <w:rFonts w:hint="eastAsia"/>
          <w:color w:val="auto"/>
          <w:highlight w:val="none"/>
          <w:lang w:eastAsia="zh-CN"/>
        </w:rPr>
        <w:t>供应商承诺参与本次投标活动中无串通投标行为、无提供虚假证明材料投标行为（提供承诺函，格式自拟）。若经发现供应商有串通投标行为、提供虚假证明材料投标行为，将上报财政局依法依规处理。</w:t>
      </w:r>
    </w:p>
    <w:bookmarkEnd w:id="17"/>
    <w:bookmarkEnd w:id="18"/>
    <w:p w14:paraId="57EFE3E0">
      <w:pPr>
        <w:pStyle w:val="26"/>
        <w:bidi w:val="0"/>
        <w:rPr>
          <w:rFonts w:hint="default" w:cs="Times New Roman"/>
          <w:color w:val="auto"/>
          <w:highlight w:val="none"/>
          <w:lang w:val="en-US" w:eastAsia="zh-CN"/>
        </w:rPr>
      </w:pPr>
      <w:bookmarkStart w:id="19" w:name="_Toc340223145"/>
      <w:bookmarkStart w:id="20" w:name="_Toc267320050"/>
      <w:r>
        <w:rPr>
          <w:rFonts w:hint="eastAsia" w:cs="Times New Roman"/>
          <w:color w:val="auto"/>
          <w:highlight w:val="none"/>
          <w:lang w:eastAsia="zh-CN"/>
        </w:rPr>
        <w:t>※</w:t>
      </w:r>
      <w:r>
        <w:rPr>
          <w:rFonts w:hint="eastAsia" w:cs="Times New Roman"/>
          <w:color w:val="auto"/>
          <w:highlight w:val="none"/>
          <w:lang w:val="en-US" w:eastAsia="zh-CN"/>
        </w:rPr>
        <w:t>六</w:t>
      </w:r>
      <w:r>
        <w:rPr>
          <w:rFonts w:hint="eastAsia" w:cs="Times New Roman"/>
          <w:color w:val="auto"/>
          <w:highlight w:val="none"/>
          <w:lang w:eastAsia="zh-CN"/>
        </w:rPr>
        <w:t>、质保服务期</w:t>
      </w:r>
      <w:r>
        <w:rPr>
          <w:rFonts w:hint="eastAsia" w:cs="Times New Roman"/>
          <w:color w:val="auto"/>
          <w:highlight w:val="none"/>
          <w:lang w:val="en-US" w:eastAsia="zh-CN"/>
        </w:rPr>
        <w:t>和售后服务内容</w:t>
      </w:r>
    </w:p>
    <w:p w14:paraId="476F2C82">
      <w:pPr>
        <w:pStyle w:val="25"/>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）医疗设备：均不低于三年（响应文件提供整机维保服务承诺函），质保期从设备调试验收合格之日起起算，</w:t>
      </w:r>
      <w:r>
        <w:rPr>
          <w:rFonts w:hint="eastAsia"/>
          <w:color w:val="auto"/>
          <w:lang w:val="en-US" w:eastAsia="zh-CN"/>
        </w:rPr>
        <w:t>供应商</w:t>
      </w:r>
      <w:r>
        <w:rPr>
          <w:rFonts w:hint="default"/>
          <w:color w:val="auto"/>
          <w:lang w:val="en-US" w:eastAsia="zh-CN"/>
        </w:rPr>
        <w:t>在质量保证期内应当为采购人提供以下技术支持和服务</w:t>
      </w:r>
      <w:r>
        <w:rPr>
          <w:rFonts w:hint="eastAsia"/>
          <w:color w:val="auto"/>
          <w:lang w:val="en-US" w:eastAsia="zh-CN"/>
        </w:rPr>
        <w:t>，</w:t>
      </w:r>
      <w:r>
        <w:rPr>
          <w:rFonts w:hint="eastAsia"/>
          <w:color w:val="auto"/>
          <w:highlight w:val="none"/>
          <w:lang w:eastAsia="zh-CN"/>
        </w:rPr>
        <w:t>具体包括：</w:t>
      </w:r>
    </w:p>
    <w:p w14:paraId="5340E57B">
      <w:pPr>
        <w:pStyle w:val="25"/>
        <w:bidi w:val="0"/>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电话咨询：供应商应当为采购人提供24小时技术援助电话，免费解答采购人在使用中遇到的问题，及时为采购人提出解决问题的建议。</w:t>
      </w:r>
    </w:p>
    <w:p w14:paraId="03B182CC">
      <w:pPr>
        <w:pStyle w:val="25"/>
        <w:bidi w:val="0"/>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现场响应：遇到使用及技术问题，电话咨询不能解决的，故障响应时间在2小时内，指导采购人采取相应措施。供应商和制造商承诺在</w:t>
      </w:r>
      <w:r>
        <w:rPr>
          <w:rFonts w:hint="eastAsia"/>
          <w:color w:val="auto"/>
          <w:highlight w:val="none"/>
          <w:lang w:val="en-US" w:eastAsia="zh-CN"/>
        </w:rPr>
        <w:t>4</w:t>
      </w:r>
      <w:r>
        <w:rPr>
          <w:rFonts w:hint="eastAsia"/>
          <w:color w:val="auto"/>
          <w:highlight w:val="none"/>
          <w:lang w:eastAsia="zh-CN"/>
        </w:rPr>
        <w:t>小时内指派人员到达现场进行维修处理，确保产品正常工作，24小时内解决故障，不能解决故障的，需要在48小时内提供备用产品，确保采购人能够正常使用。</w:t>
      </w:r>
    </w:p>
    <w:p w14:paraId="009184DC">
      <w:pPr>
        <w:pStyle w:val="25"/>
        <w:bidi w:val="0"/>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维护保养：厂家或厂家授权的售后服务公司定期到医院进行免费的医疗设备全面检测和维修维护保养，维修维护保养不得少于4次/年，维保范围包括供应商所投所有产品（含第三方产品）。</w:t>
      </w:r>
    </w:p>
    <w:p w14:paraId="69E6DF6E">
      <w:pPr>
        <w:pStyle w:val="25"/>
        <w:bidi w:val="0"/>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每次维护保养时需要填写维修、保养记录，交采购人后勤保障科（医学装备科）和使用科室各1份，供应商自存1份以备查。除不可抗力和采购人责任外，质保期内因维修保养产生的费用全部由供应商承担。如质保期内供应商未按时进行现场响应或未及时履行维修义务，每次违约供应商应向采购人支付违约金2000元/次；造成采购人损失的，供应商另行赔偿。同时，采购人有权自行委托第三方维修，由此产生的责任和费用均由供应商承担且不免除供应商的维保义务。</w:t>
      </w:r>
    </w:p>
    <w:p w14:paraId="33043F8A">
      <w:pPr>
        <w:pStyle w:val="25"/>
        <w:bidi w:val="0"/>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技术更新：维保期内，如果供应商和制造商的产品进行软件系统版本更新和升级，供应商应及时通知采购人，如采购人有相应要求，供应商和制造商应对采购人购买的产品进行免费更新服务。</w:t>
      </w:r>
    </w:p>
    <w:p w14:paraId="7A228AB6">
      <w:pPr>
        <w:pStyle w:val="25"/>
        <w:bidi w:val="0"/>
        <w:rPr>
          <w:rFonts w:hint="eastAsia"/>
          <w:color w:val="auto"/>
          <w:highlight w:val="none"/>
          <w:lang w:eastAsia="zh-CN"/>
        </w:rPr>
      </w:pPr>
      <w:r>
        <w:rPr>
          <w:rFonts w:hint="eastAsia"/>
          <w:color w:val="auto"/>
          <w:highlight w:val="none"/>
          <w:lang w:val="en-US" w:eastAsia="zh-CN"/>
        </w:rPr>
        <w:t>6.</w:t>
      </w:r>
      <w:r>
        <w:rPr>
          <w:rFonts w:hint="eastAsia"/>
          <w:color w:val="auto"/>
          <w:highlight w:val="none"/>
          <w:lang w:eastAsia="zh-CN"/>
        </w:rPr>
        <w:t>技术升级：维保期内，如果供应商和制造商的产品技术升级，供应商应及时通知采购人，如采购人有相应要求，供应商保证供应商和制造商对采购人购买的产品进行免费升级服务。</w:t>
      </w:r>
    </w:p>
    <w:p w14:paraId="1C0245CB">
      <w:pPr>
        <w:pStyle w:val="25"/>
        <w:bidi w:val="0"/>
        <w:rPr>
          <w:rFonts w:hint="eastAsia"/>
          <w:color w:val="auto"/>
          <w:highlight w:val="none"/>
          <w:lang w:eastAsia="zh-CN"/>
        </w:rPr>
      </w:pPr>
      <w:r>
        <w:rPr>
          <w:rFonts w:hint="eastAsia"/>
          <w:color w:val="auto"/>
          <w:highlight w:val="none"/>
          <w:lang w:val="en-US" w:eastAsia="zh-CN"/>
        </w:rPr>
        <w:t>7.</w:t>
      </w:r>
      <w:r>
        <w:rPr>
          <w:rFonts w:hint="eastAsia"/>
          <w:color w:val="auto"/>
          <w:highlight w:val="none"/>
          <w:lang w:eastAsia="zh-CN"/>
        </w:rPr>
        <w:t>质保期内保证设备完好率≥95%（设备每年因故障导致的停机时间不超过18天）。</w:t>
      </w:r>
    </w:p>
    <w:p w14:paraId="6473DDB6">
      <w:pPr>
        <w:pStyle w:val="25"/>
        <w:bidi w:val="0"/>
        <w:rPr>
          <w:rFonts w:hint="eastAsia"/>
          <w:color w:val="auto"/>
          <w:highlight w:val="none"/>
          <w:lang w:eastAsia="zh-CN"/>
        </w:rPr>
      </w:pPr>
      <w:r>
        <w:rPr>
          <w:rFonts w:hint="eastAsia"/>
          <w:color w:val="auto"/>
          <w:highlight w:val="none"/>
          <w:lang w:val="en-US" w:eastAsia="zh-CN"/>
        </w:rPr>
        <w:t>8.</w:t>
      </w:r>
      <w:r>
        <w:rPr>
          <w:rFonts w:hint="eastAsia"/>
          <w:color w:val="auto"/>
          <w:highlight w:val="none"/>
          <w:lang w:eastAsia="zh-CN"/>
        </w:rPr>
        <w:t xml:space="preserve">质保期内产品质量经权威机构鉴定不符合质量要求的，由供应商进行免费包修、包换、包退（指产品整体、并非某一单独部件），并承担修理、调换或退货全部费用。 </w:t>
      </w:r>
    </w:p>
    <w:p w14:paraId="51914FC2">
      <w:pPr>
        <w:pStyle w:val="25"/>
        <w:bidi w:val="0"/>
        <w:rPr>
          <w:rFonts w:hint="eastAsia"/>
          <w:color w:val="auto"/>
          <w:highlight w:val="none"/>
          <w:lang w:eastAsia="zh-CN"/>
        </w:rPr>
      </w:pPr>
      <w:r>
        <w:rPr>
          <w:rFonts w:hint="eastAsia"/>
          <w:color w:val="auto"/>
          <w:highlight w:val="none"/>
          <w:lang w:val="en-US" w:eastAsia="zh-CN"/>
        </w:rPr>
        <w:t>9.</w:t>
      </w:r>
      <w:r>
        <w:rPr>
          <w:rFonts w:hint="eastAsia"/>
          <w:color w:val="auto"/>
          <w:highlight w:val="none"/>
          <w:lang w:eastAsia="zh-CN"/>
        </w:rPr>
        <w:t>一般产品质量问题，修理两次仍达不到质量要求的，供应商应当为采购人免费更换合同约定的原厂全新零部件。质保期内，更换的产品及零部件应该为原厂产品或零部件，符合产品和零部件的质保期限要求，未经采购人书面同意不得使用非原厂配件。</w:t>
      </w:r>
    </w:p>
    <w:p w14:paraId="136277CA">
      <w:pPr>
        <w:pStyle w:val="25"/>
        <w:bidi w:val="0"/>
        <w:rPr>
          <w:rFonts w:hint="eastAsia"/>
          <w:color w:val="auto"/>
          <w:highlight w:val="none"/>
          <w:lang w:eastAsia="zh-CN"/>
        </w:rPr>
      </w:pPr>
      <w:r>
        <w:rPr>
          <w:rFonts w:hint="eastAsia"/>
          <w:color w:val="auto"/>
          <w:highlight w:val="none"/>
          <w:lang w:val="en-US" w:eastAsia="zh-CN"/>
        </w:rPr>
        <w:t>10.</w:t>
      </w:r>
      <w:r>
        <w:rPr>
          <w:rFonts w:hint="eastAsia"/>
          <w:color w:val="auto"/>
          <w:highlight w:val="none"/>
          <w:lang w:eastAsia="zh-CN"/>
        </w:rPr>
        <w:t>发生严重质量问题，采购人直接选择换货时，供应商应当免费更换合同约定的产品。</w:t>
      </w:r>
    </w:p>
    <w:p w14:paraId="3DE57DA7">
      <w:pPr>
        <w:pStyle w:val="25"/>
        <w:bidi w:val="0"/>
        <w:rPr>
          <w:rFonts w:hint="eastAsia"/>
          <w:color w:val="auto"/>
          <w:highlight w:val="none"/>
          <w:lang w:eastAsia="zh-CN"/>
        </w:rPr>
      </w:pPr>
      <w:r>
        <w:rPr>
          <w:rFonts w:hint="eastAsia"/>
          <w:color w:val="auto"/>
          <w:highlight w:val="none"/>
          <w:lang w:val="en-US" w:eastAsia="zh-CN"/>
        </w:rPr>
        <w:t>11.</w:t>
      </w:r>
      <w:r>
        <w:rPr>
          <w:rFonts w:hint="eastAsia"/>
          <w:color w:val="auto"/>
          <w:highlight w:val="none"/>
          <w:lang w:eastAsia="zh-CN"/>
        </w:rPr>
        <w:t>符合换货条件，因无同规格型号、同样式的产品，供应商应当调换不低于合同货物规格且采购人同意的其他规格型号和样式的产品。供应商不得向采购人提供残次产品、不合格产品或者修理过的产品。</w:t>
      </w:r>
    </w:p>
    <w:p w14:paraId="1FE0363C">
      <w:pPr>
        <w:pStyle w:val="25"/>
        <w:bidi w:val="0"/>
        <w:rPr>
          <w:rFonts w:hint="eastAsia"/>
          <w:color w:val="auto"/>
          <w:highlight w:val="none"/>
          <w:lang w:eastAsia="zh-CN"/>
        </w:rPr>
      </w:pPr>
      <w:r>
        <w:rPr>
          <w:rFonts w:hint="eastAsia"/>
          <w:color w:val="auto"/>
          <w:highlight w:val="none"/>
          <w:lang w:val="en-US" w:eastAsia="zh-CN"/>
        </w:rPr>
        <w:t>12.</w:t>
      </w:r>
      <w:r>
        <w:rPr>
          <w:rFonts w:hint="eastAsia"/>
          <w:color w:val="auto"/>
          <w:highlight w:val="none"/>
          <w:lang w:eastAsia="zh-CN"/>
        </w:rPr>
        <w:t>换货后，产品质保期自所换货物经验收合格之日起重新计算。</w:t>
      </w:r>
    </w:p>
    <w:p w14:paraId="713DEEC8">
      <w:pPr>
        <w:pStyle w:val="25"/>
        <w:bidi w:val="0"/>
        <w:rPr>
          <w:rFonts w:hint="eastAsia"/>
          <w:color w:val="auto"/>
          <w:highlight w:val="none"/>
          <w:lang w:eastAsia="zh-CN"/>
        </w:rPr>
      </w:pPr>
      <w:r>
        <w:rPr>
          <w:rFonts w:hint="eastAsia"/>
          <w:color w:val="auto"/>
          <w:highlight w:val="none"/>
          <w:lang w:val="en-US" w:eastAsia="zh-CN"/>
        </w:rPr>
        <w:t>13.</w:t>
      </w:r>
      <w:r>
        <w:rPr>
          <w:rFonts w:hint="eastAsia"/>
          <w:color w:val="auto"/>
          <w:highlight w:val="none"/>
          <w:lang w:eastAsia="zh-CN"/>
        </w:rPr>
        <w:t>因产品质量问题给采购人或采购人服务对象（患者）造成损失的，供应商应按有关法律、法规的规定、合同约定进行赔偿。</w:t>
      </w:r>
    </w:p>
    <w:p w14:paraId="2BA185B7">
      <w:pPr>
        <w:pStyle w:val="25"/>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）配套试剂耗材：质保期符合医院医用耗材管理要求，进行临效期或失效后退换。</w:t>
      </w:r>
    </w:p>
    <w:p w14:paraId="0F8F87B6">
      <w:pPr>
        <w:pStyle w:val="25"/>
        <w:bidi w:val="0"/>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电话咨询：供应商应当为采购人提供技术援助电话，免费解答采购人在使用中遇到的问题，及时为采购人提出解决问题的建议。</w:t>
      </w:r>
    </w:p>
    <w:p w14:paraId="3D78DE39">
      <w:pPr>
        <w:pStyle w:val="25"/>
        <w:bidi w:val="0"/>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现场响应：遇到使用及技术问题，电话咨询不能解决的，故障响应时间在2小时内，指导采购人采取相应措施。供应商和制造商承诺在</w:t>
      </w:r>
      <w:r>
        <w:rPr>
          <w:rFonts w:hint="eastAsia"/>
          <w:color w:val="auto"/>
          <w:highlight w:val="none"/>
          <w:lang w:val="en-US" w:eastAsia="zh-CN"/>
        </w:rPr>
        <w:t>4</w:t>
      </w:r>
      <w:r>
        <w:rPr>
          <w:rFonts w:hint="eastAsia"/>
          <w:color w:val="auto"/>
          <w:highlight w:val="none"/>
          <w:lang w:eastAsia="zh-CN"/>
        </w:rPr>
        <w:t>小时内指派人员到达现场进行维修处理，确保产品正常工作，24小时内解决故障，不能解决故障的，需要在48小时内提供备用产品，确保采购人能够正常使用。</w:t>
      </w:r>
    </w:p>
    <w:p w14:paraId="4C877A42">
      <w:pPr>
        <w:pStyle w:val="25"/>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）质保期外服务要求</w:t>
      </w:r>
    </w:p>
    <w:p w14:paraId="5E153447">
      <w:pPr>
        <w:pStyle w:val="25"/>
        <w:bidi w:val="0"/>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质量保证期届满后，供应商保证：供应商和厂家仍提供免费电话咨询服务，并承诺提供产品上门维护服务。</w:t>
      </w:r>
    </w:p>
    <w:p w14:paraId="4A2A553F">
      <w:pPr>
        <w:pStyle w:val="25"/>
        <w:bidi w:val="0"/>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质量保证期届满后，采购人需要继续由原供应商和厂家提供售后服务的，供应商保证：供应商和厂家以优惠价格提供售后服务；维保期</w:t>
      </w:r>
      <w:r>
        <w:rPr>
          <w:rFonts w:hint="eastAsia"/>
          <w:color w:val="auto"/>
          <w:highlight w:val="none"/>
          <w:lang w:val="en-US" w:eastAsia="zh-CN"/>
        </w:rPr>
        <w:t>届满</w:t>
      </w:r>
      <w:r>
        <w:rPr>
          <w:rFonts w:hint="eastAsia"/>
          <w:color w:val="auto"/>
          <w:highlight w:val="none"/>
          <w:lang w:eastAsia="zh-CN"/>
        </w:rPr>
        <w:t>后，每年的维保服务费用不得超过设备成交价格的5%（含税）。如果供应商和制造商的产品技术升级，供应商应及时通知采购人，同时所有设备（硬件、软件及配套产品）享受原厂免费升级。</w:t>
      </w:r>
    </w:p>
    <w:p w14:paraId="24A139BB">
      <w:pPr>
        <w:pStyle w:val="26"/>
        <w:bidi w:val="0"/>
        <w:rPr>
          <w:rFonts w:hint="eastAsia" w:cs="Times New Roman"/>
          <w:color w:val="auto"/>
          <w:highlight w:val="none"/>
          <w:lang w:eastAsia="zh-CN"/>
        </w:rPr>
      </w:pPr>
      <w:r>
        <w:rPr>
          <w:rFonts w:hint="eastAsia" w:cs="Times New Roman"/>
          <w:color w:val="auto"/>
          <w:highlight w:val="none"/>
          <w:lang w:val="en-US" w:eastAsia="zh-CN"/>
        </w:rPr>
        <w:t>※七</w:t>
      </w:r>
      <w:r>
        <w:rPr>
          <w:rFonts w:hint="eastAsia" w:cs="Times New Roman"/>
          <w:color w:val="auto"/>
          <w:highlight w:val="none"/>
          <w:lang w:eastAsia="zh-CN"/>
        </w:rPr>
        <w:t>、违约责任</w:t>
      </w:r>
    </w:p>
    <w:p w14:paraId="1703C607">
      <w:pPr>
        <w:pStyle w:val="25"/>
        <w:bidi w:val="0"/>
        <w:rPr>
          <w:rFonts w:hint="eastAsia"/>
          <w:color w:val="auto"/>
          <w:highlight w:val="none"/>
          <w:lang w:val="en-US" w:eastAsia="zh-CN"/>
        </w:rPr>
      </w:pPr>
      <w:r>
        <w:rPr>
          <w:rFonts w:hint="eastAsia"/>
          <w:color w:val="auto"/>
          <w:highlight w:val="none"/>
          <w:lang w:val="en-US" w:eastAsia="zh-CN"/>
        </w:rPr>
        <w:t>1.供应商承诺和保证：参加本次招投标所涉及和提供的“资格条件和资格要求以及对应的支撑材料和声明函、承诺函等”资料真实可靠。若因提供的“资格条件和资格要求以及对应的支撑材料和声明函、承诺函等”资料瑕疵或不真实，造成采购人遭受损失的，供应商应当赔偿采购人的所有损失。供应商自行承担由此导致的经济损失或政府部门处罚等一切责任和法律后果，并且向采购人支付违约金。</w:t>
      </w:r>
    </w:p>
    <w:p w14:paraId="596822DB">
      <w:pPr>
        <w:pStyle w:val="25"/>
        <w:bidi w:val="0"/>
        <w:rPr>
          <w:rFonts w:hint="eastAsia"/>
          <w:color w:val="auto"/>
          <w:highlight w:val="none"/>
          <w:lang w:val="en-US" w:eastAsia="zh-CN"/>
        </w:rPr>
      </w:pPr>
      <w:r>
        <w:rPr>
          <w:rFonts w:hint="eastAsia"/>
          <w:color w:val="auto"/>
          <w:highlight w:val="none"/>
          <w:lang w:val="en-US" w:eastAsia="zh-CN"/>
        </w:rPr>
        <w:t>2.供应商交付的商品未达到招标文件和电子投标文件规定要求的，供应商应该通过补货、换货、退货提供符合招标文件和电子投标文件质量要求的商品，供应商全额承担补货、换货、退货导致的所有支出(运输、保险、仓储、保管、装卸、检验、货款利息及银行手续费等)。</w:t>
      </w:r>
    </w:p>
    <w:p w14:paraId="3312A393">
      <w:pPr>
        <w:pStyle w:val="25"/>
        <w:bidi w:val="0"/>
        <w:rPr>
          <w:rFonts w:hint="eastAsia"/>
          <w:color w:val="auto"/>
          <w:highlight w:val="none"/>
          <w:lang w:val="en-US" w:eastAsia="zh-CN"/>
        </w:rPr>
      </w:pPr>
      <w:r>
        <w:rPr>
          <w:rFonts w:hint="eastAsia"/>
          <w:color w:val="auto"/>
          <w:highlight w:val="none"/>
          <w:lang w:val="en-US" w:eastAsia="zh-CN"/>
        </w:rPr>
        <w:t>3.供应商无法交付达到招标文件和电子投标文件要求的商品的，采购人有权退货，供应商应当退还采购人支付的相应商品的价款，同时供应商应向采购人支付违约金，违约金金额为被退回商品对应的价款金额。</w:t>
      </w:r>
    </w:p>
    <w:p w14:paraId="7853502B">
      <w:pPr>
        <w:pStyle w:val="25"/>
        <w:bidi w:val="0"/>
        <w:rPr>
          <w:rFonts w:hint="eastAsia"/>
          <w:color w:val="auto"/>
          <w:highlight w:val="none"/>
          <w:lang w:val="en-US" w:eastAsia="zh-CN"/>
        </w:rPr>
      </w:pPr>
      <w:r>
        <w:rPr>
          <w:rFonts w:hint="eastAsia"/>
          <w:color w:val="auto"/>
          <w:highlight w:val="none"/>
          <w:lang w:val="en-US" w:eastAsia="zh-CN"/>
        </w:rPr>
        <w:t>4.供应商交付的商品未达到招标文件和电子投标文件规定要求的，对采购人或采购人患者造成损失和责任的，由供应商承担全部责任，并全额承担给采购人或采购人患者造成的全部损失和赔偿（包含且不限于采购人的直接损失、采购人向患者支付的赔偿款、诉讼费、律师代理费、保全费、担保费、差旅费、执行费、鉴定费、评估拍卖费等一切直接或间接损失），并且向采购人支付违约金。</w:t>
      </w:r>
    </w:p>
    <w:p w14:paraId="29EB349C">
      <w:pPr>
        <w:pStyle w:val="25"/>
        <w:bidi w:val="0"/>
        <w:rPr>
          <w:rFonts w:hint="eastAsia"/>
          <w:color w:val="auto"/>
          <w:highlight w:val="none"/>
          <w:lang w:val="en-US" w:eastAsia="zh-CN"/>
        </w:rPr>
      </w:pPr>
      <w:r>
        <w:rPr>
          <w:rFonts w:hint="eastAsia"/>
          <w:color w:val="auto"/>
          <w:highlight w:val="none"/>
          <w:lang w:val="en-US" w:eastAsia="zh-CN"/>
        </w:rPr>
        <w:t>5.供应商将交付商品的义务全部或部分转让给他人的，供应商应该承担采购人因此造成的全部损失，并且向采购人支付违约金。</w:t>
      </w:r>
    </w:p>
    <w:p w14:paraId="63A2A659">
      <w:pPr>
        <w:pStyle w:val="25"/>
        <w:bidi w:val="0"/>
        <w:rPr>
          <w:rFonts w:hint="eastAsia"/>
          <w:color w:val="auto"/>
          <w:highlight w:val="none"/>
          <w:lang w:val="en-US" w:eastAsia="zh-CN"/>
        </w:rPr>
      </w:pPr>
      <w:r>
        <w:rPr>
          <w:rFonts w:hint="eastAsia"/>
          <w:color w:val="auto"/>
          <w:highlight w:val="none"/>
          <w:lang w:val="en-US" w:eastAsia="zh-CN"/>
        </w:rPr>
        <w:t>6.质保期内，供应商拒绝或逾期为采购人提供合同约定的售后服务，采购人有权从其他第三方购买售后服务，采购人支付的售后服务费用由供应商全额承担和赔偿，并且向采购人支付违约金。</w:t>
      </w:r>
    </w:p>
    <w:p w14:paraId="37A0970C">
      <w:pPr>
        <w:pStyle w:val="25"/>
        <w:bidi w:val="0"/>
        <w:rPr>
          <w:rFonts w:hint="eastAsia"/>
          <w:color w:val="auto"/>
          <w:highlight w:val="none"/>
          <w:lang w:val="en-US" w:eastAsia="zh-CN"/>
        </w:rPr>
      </w:pPr>
      <w:r>
        <w:rPr>
          <w:rFonts w:hint="eastAsia"/>
          <w:color w:val="auto"/>
          <w:highlight w:val="none"/>
          <w:lang w:val="en-US" w:eastAsia="zh-CN"/>
        </w:rPr>
        <w:t>7.质保期内，供应商为采购人提供的售后服务不符合合同约定，造成采购人设备无法正常使用的，采购人有权从其他第三方购买服务，采购人支付的服务费用由供应商全额承担和赔偿，并且向采购人支付违约金。</w:t>
      </w:r>
    </w:p>
    <w:p w14:paraId="7F4157BB">
      <w:pPr>
        <w:pStyle w:val="25"/>
        <w:bidi w:val="0"/>
        <w:rPr>
          <w:rFonts w:hint="eastAsia"/>
          <w:color w:val="auto"/>
          <w:highlight w:val="none"/>
          <w:lang w:val="en-US" w:eastAsia="zh-CN"/>
        </w:rPr>
      </w:pPr>
      <w:r>
        <w:rPr>
          <w:rFonts w:hint="eastAsia"/>
          <w:color w:val="auto"/>
          <w:highlight w:val="none"/>
          <w:lang w:val="en-US" w:eastAsia="zh-CN"/>
        </w:rPr>
        <w:t>8.质保期内，供应商售后服务中使用的零配件或其他商品不符合合同约定的质量标准，导致采购人无法正常使用有关设备的，采购人有权更换。供应商全额承担和赔偿更换零配件所产生的全部费用，并赔偿采购人由此造成的经济损失。</w:t>
      </w:r>
    </w:p>
    <w:p w14:paraId="0B3958A0">
      <w:pPr>
        <w:pStyle w:val="25"/>
        <w:bidi w:val="0"/>
        <w:rPr>
          <w:rFonts w:hint="eastAsia"/>
          <w:color w:val="auto"/>
          <w:highlight w:val="none"/>
          <w:lang w:val="en-US" w:eastAsia="zh-CN"/>
        </w:rPr>
      </w:pPr>
      <w:r>
        <w:rPr>
          <w:rFonts w:hint="eastAsia"/>
          <w:color w:val="auto"/>
          <w:highlight w:val="none"/>
          <w:lang w:val="en-US" w:eastAsia="zh-CN"/>
        </w:rPr>
        <w:t>9.质保期内，自质保期起算之日起，以365天为一个计算周期。若该周期内，商品使用过程中发生质量问题导致停机天数超过18个自然日的，供应商应当延长质保期，质保期延长的计算标准为：每停机一天延长三天质保期。延长质保期内再次出现停机的，仍按本条款约定再次延长质保期。</w:t>
      </w:r>
    </w:p>
    <w:p w14:paraId="3C322B41">
      <w:pPr>
        <w:pStyle w:val="25"/>
        <w:bidi w:val="0"/>
        <w:rPr>
          <w:rFonts w:hint="eastAsia"/>
          <w:color w:val="auto"/>
          <w:highlight w:val="none"/>
          <w:lang w:val="en-US" w:eastAsia="zh-CN"/>
        </w:rPr>
      </w:pPr>
      <w:r>
        <w:rPr>
          <w:rFonts w:hint="eastAsia"/>
          <w:color w:val="auto"/>
          <w:highlight w:val="none"/>
          <w:lang w:val="en-US" w:eastAsia="zh-CN"/>
        </w:rPr>
        <w:t>10.供应商逾期交货的，供应商应向采购人支付违约金，违约金计算方式为：以合同总价款为基数，按照1%/天的标准，从应交货之日起计算至实际完成交货之日止，但逾期交货违约金总额不得超过合同总价款的3%。</w:t>
      </w:r>
    </w:p>
    <w:p w14:paraId="72790649">
      <w:pPr>
        <w:pStyle w:val="25"/>
        <w:bidi w:val="0"/>
        <w:rPr>
          <w:rFonts w:hint="eastAsia"/>
          <w:color w:val="auto"/>
          <w:highlight w:val="none"/>
          <w:lang w:val="en-US" w:eastAsia="zh-CN"/>
        </w:rPr>
      </w:pPr>
      <w:r>
        <w:rPr>
          <w:rFonts w:hint="eastAsia"/>
          <w:color w:val="auto"/>
          <w:highlight w:val="none"/>
          <w:lang w:val="en-US" w:eastAsia="zh-CN"/>
        </w:rPr>
        <w:t>11.供应商违约的，供应商应向采购人承担包括但不限于消除影响、赔偿损失、支付违约金等违约责任。</w:t>
      </w:r>
    </w:p>
    <w:p w14:paraId="697CF5F6">
      <w:pPr>
        <w:pStyle w:val="26"/>
        <w:bidi w:val="0"/>
        <w:rPr>
          <w:rFonts w:hint="default" w:cs="Times New Roman"/>
          <w:color w:val="auto"/>
          <w:highlight w:val="none"/>
          <w:lang w:val="en-US" w:eastAsia="zh-CN"/>
        </w:rPr>
      </w:pPr>
      <w:r>
        <w:rPr>
          <w:rFonts w:hint="eastAsia" w:cs="Times New Roman"/>
          <w:color w:val="auto"/>
          <w:highlight w:val="none"/>
          <w:lang w:val="en-US" w:eastAsia="zh-CN"/>
        </w:rPr>
        <w:t>※八</w:t>
      </w:r>
      <w:r>
        <w:rPr>
          <w:rFonts w:hint="eastAsia" w:cs="Times New Roman"/>
          <w:color w:val="auto"/>
          <w:highlight w:val="none"/>
          <w:lang w:eastAsia="zh-CN"/>
        </w:rPr>
        <w:t>、</w:t>
      </w:r>
      <w:r>
        <w:rPr>
          <w:rFonts w:hint="eastAsia" w:cs="Times New Roman"/>
          <w:color w:val="auto"/>
          <w:highlight w:val="none"/>
          <w:lang w:val="en-US" w:eastAsia="zh-CN"/>
        </w:rPr>
        <w:t>其他</w:t>
      </w:r>
    </w:p>
    <w:p w14:paraId="57829B4D">
      <w:pPr>
        <w:pStyle w:val="25"/>
        <w:bidi w:val="0"/>
        <w:rPr>
          <w:rFonts w:hint="eastAsia"/>
          <w:color w:val="auto"/>
          <w:highlight w:val="none"/>
          <w:lang w:val="en-US" w:eastAsia="zh-CN"/>
        </w:rPr>
      </w:pPr>
      <w:r>
        <w:rPr>
          <w:rFonts w:hint="eastAsia"/>
          <w:color w:val="auto"/>
          <w:highlight w:val="none"/>
          <w:lang w:val="en-US" w:eastAsia="zh-CN"/>
        </w:rPr>
        <w:t>1.供应商交付的商品未达到招标文件和电子投标文件技术参数要求的，供应商不愿意补货、换货、退货，或者补货、换货、退货后的商品仍无法达到招标文件和电子投标文件技术参数要求的，采购人有权单方解除合同。</w:t>
      </w:r>
    </w:p>
    <w:p w14:paraId="6E23912A">
      <w:pPr>
        <w:pStyle w:val="25"/>
        <w:bidi w:val="0"/>
        <w:rPr>
          <w:rFonts w:hint="eastAsia"/>
          <w:color w:val="auto"/>
          <w:highlight w:val="none"/>
          <w:lang w:val="en-US" w:eastAsia="zh-CN"/>
        </w:rPr>
      </w:pPr>
      <w:r>
        <w:rPr>
          <w:rFonts w:hint="eastAsia"/>
          <w:color w:val="auto"/>
          <w:highlight w:val="none"/>
          <w:lang w:val="en-US" w:eastAsia="zh-CN"/>
        </w:rPr>
        <w:t>2.合同约定的质保期内，供应商拒绝或逾期为采购人提供售后服务，经采购人催告后的七日内，供应商仍未提供售后服务的，采购人有权单方解除合同。</w:t>
      </w:r>
    </w:p>
    <w:p w14:paraId="781C73E9">
      <w:pPr>
        <w:pStyle w:val="25"/>
        <w:bidi w:val="0"/>
        <w:rPr>
          <w:rFonts w:hint="eastAsia"/>
          <w:color w:val="auto"/>
          <w:highlight w:val="none"/>
          <w:lang w:val="en-US" w:eastAsia="zh-CN"/>
        </w:rPr>
      </w:pPr>
      <w:r>
        <w:rPr>
          <w:rFonts w:hint="eastAsia"/>
          <w:color w:val="auto"/>
          <w:highlight w:val="none"/>
          <w:lang w:val="en-US" w:eastAsia="zh-CN"/>
        </w:rPr>
        <w:t>3.甲乙双方履行合同过程中发生的一切争议，应先友好协商解决，如协商不能解决，则通过诉讼途径解决，由采购人所在地人民法院管辖。</w:t>
      </w:r>
    </w:p>
    <w:p w14:paraId="278A4C0A">
      <w:pPr>
        <w:pStyle w:val="25"/>
        <w:bidi w:val="0"/>
        <w:rPr>
          <w:rFonts w:hint="eastAsia"/>
          <w:color w:val="auto"/>
          <w:highlight w:val="none"/>
          <w:lang w:val="en-US" w:eastAsia="zh-CN"/>
        </w:rPr>
      </w:pPr>
      <w:r>
        <w:rPr>
          <w:rFonts w:hint="eastAsia"/>
          <w:color w:val="auto"/>
          <w:highlight w:val="none"/>
          <w:lang w:val="en-US" w:eastAsia="zh-CN"/>
        </w:rPr>
        <w:t>4.其他未尽事宜由供需双方在采购合同中详细约定。</w:t>
      </w:r>
    </w:p>
    <w:p w14:paraId="613A46DD">
      <w:pPr>
        <w:pStyle w:val="25"/>
        <w:bidi w:val="0"/>
        <w:rPr>
          <w:rFonts w:hint="eastAsia"/>
          <w:color w:val="auto"/>
          <w:highlight w:val="none"/>
          <w:lang w:val="en-US" w:eastAsia="zh-CN"/>
        </w:rPr>
        <w:sectPr>
          <w:pgSz w:w="11907" w:h="16840"/>
          <w:pgMar w:top="1134" w:right="1191" w:bottom="1134" w:left="1304" w:header="964" w:footer="992" w:gutter="0"/>
          <w:pgNumType w:fmt="decimal"/>
          <w:cols w:space="720" w:num="1"/>
          <w:docGrid w:linePitch="312" w:charSpace="0"/>
        </w:sectPr>
      </w:pPr>
    </w:p>
    <w:bookmarkEnd w:id="19"/>
    <w:bookmarkEnd w:id="20"/>
    <w:p w14:paraId="57DBF054">
      <w:pPr>
        <w:pStyle w:val="26"/>
        <w:keepNext/>
        <w:pageBreakBefore w:val="0"/>
        <w:widowControl w:val="0"/>
        <w:kinsoku/>
        <w:wordWrap/>
        <w:overflowPunct/>
        <w:topLinePunct w:val="0"/>
        <w:autoSpaceDE/>
        <w:autoSpaceDN/>
        <w:bidi w:val="0"/>
        <w:snapToGrid w:val="0"/>
        <w:spacing w:line="480" w:lineRule="exact"/>
        <w:ind w:left="0" w:leftChars="0" w:firstLine="0" w:firstLineChars="0"/>
        <w:textAlignment w:val="auto"/>
        <w:rPr>
          <w:rStyle w:val="31"/>
          <w:rFonts w:hint="default" w:ascii="Times New Roman" w:hAnsi="Times New Roman" w:cs="Times New Roman"/>
          <w:color w:val="auto"/>
          <w:highlight w:val="none"/>
          <w:lang w:val="en-US" w:eastAsia="zh-CN"/>
        </w:rPr>
      </w:pPr>
      <w:bookmarkStart w:id="21" w:name="_Toc340223151"/>
      <w:r>
        <w:rPr>
          <w:rStyle w:val="31"/>
          <w:rFonts w:hint="default" w:ascii="Times New Roman" w:hAnsi="Times New Roman" w:cs="Times New Roman"/>
          <w:color w:val="auto"/>
          <w:highlight w:val="none"/>
          <w:lang w:val="en-US" w:eastAsia="zh-CN"/>
        </w:rPr>
        <w:t>第四篇 比选程序及方法、评审标准、无效响应和采购终止</w:t>
      </w:r>
    </w:p>
    <w:p w14:paraId="437855C8">
      <w:pPr>
        <w:pStyle w:val="26"/>
        <w:bidi w:val="0"/>
        <w:rPr>
          <w:rFonts w:hint="default" w:ascii="Times New Roman" w:hAnsi="Times New Roman" w:cs="Times New Roman"/>
          <w:color w:val="auto"/>
          <w:highlight w:val="none"/>
        </w:rPr>
      </w:pPr>
      <w:bookmarkStart w:id="22" w:name="_Toc106030888"/>
      <w:bookmarkStart w:id="23" w:name="_Toc76462333"/>
    </w:p>
    <w:p w14:paraId="24F84346">
      <w:pPr>
        <w:pStyle w:val="26"/>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一、</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程序及方法</w:t>
      </w:r>
      <w:bookmarkEnd w:id="22"/>
      <w:bookmarkEnd w:id="23"/>
    </w:p>
    <w:p w14:paraId="10D7F065">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（一）</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按</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文件规定的时间和地点进行，供应商须有法定代表人（或其授权代表）或自然人参加并签到。本项目由</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小组（以下简称</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小组）分别与各供应商进行</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w:t>
      </w:r>
    </w:p>
    <w:p w14:paraId="62FAFD51">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（二）</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小组对各供应商的资格条件、响应文件的有效性、完整性和响应程度进行审查。各供应商只有在完全符合要求的前提下，才能参与正式</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w:t>
      </w:r>
    </w:p>
    <w:p w14:paraId="35D1C65C">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1.资格性审查。依据法律法规和</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文件的规定，对响应文件中的资格证明等进行审查，以确定供应商是否具备</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资格。资格性审查资料表如下：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67B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F232A3F">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0A85AB4D">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57CBE7C4">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检查内容</w:t>
            </w:r>
          </w:p>
        </w:tc>
      </w:tr>
      <w:tr w14:paraId="3104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B08254E">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w:t>
            </w:r>
          </w:p>
        </w:tc>
        <w:tc>
          <w:tcPr>
            <w:tcW w:w="709" w:type="dxa"/>
            <w:vMerge w:val="restart"/>
            <w:noWrap w:val="0"/>
            <w:vAlign w:val="center"/>
          </w:tcPr>
          <w:p w14:paraId="78AEDCB0">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《中华人民共和国政府采购法》第二十二条规定</w:t>
            </w:r>
          </w:p>
        </w:tc>
        <w:tc>
          <w:tcPr>
            <w:tcW w:w="3118" w:type="dxa"/>
            <w:noWrap w:val="0"/>
            <w:vAlign w:val="center"/>
          </w:tcPr>
          <w:p w14:paraId="7B91AAD4">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1.具有独立承担民事责任的能力</w:t>
            </w:r>
          </w:p>
        </w:tc>
        <w:tc>
          <w:tcPr>
            <w:tcW w:w="4984" w:type="dxa"/>
            <w:noWrap w:val="0"/>
            <w:vAlign w:val="center"/>
          </w:tcPr>
          <w:p w14:paraId="5B063940">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4FB5509">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2.供应商法定代表人身份证明和法定代表人授权代表委托书。</w:t>
            </w:r>
          </w:p>
        </w:tc>
      </w:tr>
      <w:tr w14:paraId="0677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8007DDB">
            <w:pPr>
              <w:jc w:val="center"/>
              <w:rPr>
                <w:rFonts w:hint="default" w:ascii="Times New Roman" w:hAnsi="Times New Roman" w:eastAsia="方正仿宋_GBK" w:cs="Times New Roman"/>
                <w:color w:val="auto"/>
                <w:sz w:val="21"/>
                <w:szCs w:val="21"/>
                <w:highlight w:val="none"/>
              </w:rPr>
            </w:pPr>
          </w:p>
        </w:tc>
        <w:tc>
          <w:tcPr>
            <w:tcW w:w="709" w:type="dxa"/>
            <w:vMerge w:val="continue"/>
            <w:noWrap w:val="0"/>
            <w:vAlign w:val="center"/>
          </w:tcPr>
          <w:p w14:paraId="3DA2D88A">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6432F9AA">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zh-CN"/>
              </w:rPr>
              <w:t>2.</w:t>
            </w:r>
            <w:r>
              <w:rPr>
                <w:rFonts w:hint="default" w:ascii="Times New Roman" w:hAnsi="Times New Roman" w:eastAsia="方正仿宋_GBK" w:cs="Times New Roman"/>
                <w:color w:val="auto"/>
                <w:sz w:val="21"/>
                <w:szCs w:val="21"/>
                <w:highlight w:val="none"/>
              </w:rPr>
              <w:t>具有良好的商业信誉和健全的财务会计制度</w:t>
            </w:r>
          </w:p>
        </w:tc>
        <w:tc>
          <w:tcPr>
            <w:tcW w:w="4984" w:type="dxa"/>
            <w:vMerge w:val="restart"/>
            <w:noWrap w:val="0"/>
            <w:vAlign w:val="center"/>
          </w:tcPr>
          <w:p w14:paraId="2DA40D23">
            <w:pP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color w:val="auto"/>
                <w:sz w:val="21"/>
                <w:szCs w:val="21"/>
                <w:highlight w:val="none"/>
              </w:rPr>
              <w:t>供应商提供“基本资格条件承诺函”（格式详见第七篇）</w:t>
            </w:r>
          </w:p>
        </w:tc>
      </w:tr>
      <w:tr w14:paraId="396F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6CE905A">
            <w:pPr>
              <w:jc w:val="center"/>
              <w:rPr>
                <w:rFonts w:hint="default" w:ascii="Times New Roman" w:hAnsi="Times New Roman" w:eastAsia="方正仿宋_GBK" w:cs="Times New Roman"/>
                <w:color w:val="auto"/>
                <w:sz w:val="21"/>
                <w:szCs w:val="21"/>
                <w:highlight w:val="none"/>
              </w:rPr>
            </w:pPr>
          </w:p>
        </w:tc>
        <w:tc>
          <w:tcPr>
            <w:tcW w:w="709" w:type="dxa"/>
            <w:vMerge w:val="continue"/>
            <w:noWrap w:val="0"/>
            <w:vAlign w:val="center"/>
          </w:tcPr>
          <w:p w14:paraId="4C027151">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044218EE">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3.具有履行合同所必需的设备和专业技术能力</w:t>
            </w:r>
          </w:p>
        </w:tc>
        <w:tc>
          <w:tcPr>
            <w:tcW w:w="4984" w:type="dxa"/>
            <w:vMerge w:val="continue"/>
            <w:noWrap w:val="0"/>
            <w:vAlign w:val="center"/>
          </w:tcPr>
          <w:p w14:paraId="7527B893">
            <w:pPr>
              <w:rPr>
                <w:rFonts w:hint="default" w:ascii="Times New Roman" w:hAnsi="Times New Roman" w:eastAsia="方正仿宋_GBK" w:cs="Times New Roman"/>
                <w:color w:val="auto"/>
                <w:sz w:val="21"/>
                <w:szCs w:val="21"/>
                <w:highlight w:val="none"/>
              </w:rPr>
            </w:pPr>
          </w:p>
        </w:tc>
      </w:tr>
      <w:tr w14:paraId="0AA4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4B669F8">
            <w:pPr>
              <w:jc w:val="center"/>
              <w:rPr>
                <w:rFonts w:hint="default" w:ascii="Times New Roman" w:hAnsi="Times New Roman" w:eastAsia="方正仿宋_GBK" w:cs="Times New Roman"/>
                <w:color w:val="auto"/>
                <w:sz w:val="21"/>
                <w:szCs w:val="21"/>
                <w:highlight w:val="none"/>
              </w:rPr>
            </w:pPr>
          </w:p>
        </w:tc>
        <w:tc>
          <w:tcPr>
            <w:tcW w:w="709" w:type="dxa"/>
            <w:vMerge w:val="continue"/>
            <w:noWrap w:val="0"/>
            <w:vAlign w:val="center"/>
          </w:tcPr>
          <w:p w14:paraId="5BE8434C">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307E1F6C">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4.有依法缴纳税收和社会保障金的良好记录</w:t>
            </w:r>
          </w:p>
        </w:tc>
        <w:tc>
          <w:tcPr>
            <w:tcW w:w="4984" w:type="dxa"/>
            <w:vMerge w:val="continue"/>
            <w:noWrap w:val="0"/>
            <w:vAlign w:val="center"/>
          </w:tcPr>
          <w:p w14:paraId="665528FF">
            <w:pPr>
              <w:rPr>
                <w:rFonts w:hint="default" w:ascii="Times New Roman" w:hAnsi="Times New Roman" w:eastAsia="方正仿宋_GBK" w:cs="Times New Roman"/>
                <w:color w:val="auto"/>
                <w:sz w:val="21"/>
                <w:szCs w:val="21"/>
                <w:highlight w:val="none"/>
              </w:rPr>
            </w:pPr>
          </w:p>
        </w:tc>
      </w:tr>
      <w:tr w14:paraId="706E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6A6E50D">
            <w:pPr>
              <w:jc w:val="center"/>
              <w:rPr>
                <w:rFonts w:hint="default" w:ascii="Times New Roman" w:hAnsi="Times New Roman" w:eastAsia="方正仿宋_GBK" w:cs="Times New Roman"/>
                <w:color w:val="auto"/>
                <w:sz w:val="21"/>
                <w:szCs w:val="21"/>
                <w:highlight w:val="none"/>
              </w:rPr>
            </w:pPr>
          </w:p>
        </w:tc>
        <w:tc>
          <w:tcPr>
            <w:tcW w:w="709" w:type="dxa"/>
            <w:vMerge w:val="continue"/>
            <w:noWrap w:val="0"/>
            <w:vAlign w:val="center"/>
          </w:tcPr>
          <w:p w14:paraId="56B3FD79">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733596A7">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5.参加政府采购活动前三年内，在经营活动中没有重大违法记录</w:t>
            </w:r>
          </w:p>
        </w:tc>
        <w:tc>
          <w:tcPr>
            <w:tcW w:w="4984" w:type="dxa"/>
            <w:vMerge w:val="continue"/>
            <w:noWrap w:val="0"/>
            <w:vAlign w:val="center"/>
          </w:tcPr>
          <w:p w14:paraId="35BD75E7">
            <w:pPr>
              <w:rPr>
                <w:rFonts w:hint="default" w:ascii="Times New Roman" w:hAnsi="Times New Roman" w:eastAsia="方正仿宋_GBK" w:cs="Times New Roman"/>
                <w:b/>
                <w:color w:val="auto"/>
                <w:sz w:val="21"/>
                <w:szCs w:val="21"/>
                <w:highlight w:val="none"/>
              </w:rPr>
            </w:pPr>
          </w:p>
        </w:tc>
      </w:tr>
      <w:tr w14:paraId="682C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597124C">
            <w:pPr>
              <w:jc w:val="center"/>
              <w:rPr>
                <w:rFonts w:hint="default" w:ascii="Times New Roman" w:hAnsi="Times New Roman" w:eastAsia="方正仿宋_GBK" w:cs="Times New Roman"/>
                <w:color w:val="auto"/>
                <w:sz w:val="21"/>
                <w:szCs w:val="21"/>
                <w:highlight w:val="none"/>
              </w:rPr>
            </w:pPr>
          </w:p>
        </w:tc>
        <w:tc>
          <w:tcPr>
            <w:tcW w:w="709" w:type="dxa"/>
            <w:vMerge w:val="continue"/>
            <w:noWrap w:val="0"/>
            <w:vAlign w:val="center"/>
          </w:tcPr>
          <w:p w14:paraId="33C123EE">
            <w:pPr>
              <w:rPr>
                <w:rFonts w:hint="default" w:ascii="Times New Roman" w:hAnsi="Times New Roman" w:eastAsia="方正仿宋_GBK" w:cs="Times New Roman"/>
                <w:color w:val="auto"/>
                <w:sz w:val="21"/>
                <w:szCs w:val="21"/>
                <w:highlight w:val="none"/>
              </w:rPr>
            </w:pPr>
          </w:p>
        </w:tc>
        <w:tc>
          <w:tcPr>
            <w:tcW w:w="3118" w:type="dxa"/>
            <w:noWrap w:val="0"/>
            <w:vAlign w:val="center"/>
          </w:tcPr>
          <w:p w14:paraId="00519181">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6.法律、行政法规规定的其他条件</w:t>
            </w:r>
          </w:p>
        </w:tc>
        <w:tc>
          <w:tcPr>
            <w:tcW w:w="4984" w:type="dxa"/>
            <w:noWrap w:val="0"/>
            <w:vAlign w:val="center"/>
          </w:tcPr>
          <w:p w14:paraId="03134661">
            <w:pPr>
              <w:rPr>
                <w:rFonts w:hint="default" w:ascii="Times New Roman" w:hAnsi="Times New Roman" w:eastAsia="方正仿宋_GBK" w:cs="Times New Roman"/>
                <w:color w:val="auto"/>
                <w:sz w:val="21"/>
                <w:szCs w:val="21"/>
                <w:highlight w:val="none"/>
              </w:rPr>
            </w:pPr>
          </w:p>
        </w:tc>
      </w:tr>
      <w:tr w14:paraId="121C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5C3E4DC">
            <w:pPr>
              <w:jc w:val="center"/>
              <w:rPr>
                <w:rFonts w:hint="default" w:ascii="Times New Roman" w:hAnsi="Times New Roman" w:eastAsia="方正仿宋_GBK" w:cs="Times New Roman"/>
                <w:color w:val="auto"/>
                <w:sz w:val="21"/>
                <w:szCs w:val="21"/>
                <w:highlight w:val="none"/>
              </w:rPr>
            </w:pPr>
          </w:p>
        </w:tc>
        <w:tc>
          <w:tcPr>
            <w:tcW w:w="709" w:type="dxa"/>
            <w:vMerge w:val="continue"/>
            <w:noWrap w:val="0"/>
            <w:vAlign w:val="center"/>
          </w:tcPr>
          <w:p w14:paraId="400B5435">
            <w:pPr>
              <w:rPr>
                <w:rFonts w:hint="default" w:ascii="Times New Roman" w:hAnsi="Times New Roman" w:eastAsia="方正仿宋_GBK" w:cs="Times New Roman"/>
                <w:color w:val="auto"/>
                <w:sz w:val="21"/>
                <w:szCs w:val="21"/>
                <w:highlight w:val="none"/>
              </w:rPr>
            </w:pPr>
          </w:p>
        </w:tc>
        <w:tc>
          <w:tcPr>
            <w:tcW w:w="3118" w:type="dxa"/>
            <w:noWrap w:val="0"/>
            <w:vAlign w:val="center"/>
          </w:tcPr>
          <w:p w14:paraId="7C5226DA">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7.本项目的特定资格要求</w:t>
            </w:r>
          </w:p>
        </w:tc>
        <w:tc>
          <w:tcPr>
            <w:tcW w:w="4984" w:type="dxa"/>
            <w:noWrap w:val="0"/>
            <w:vAlign w:val="center"/>
          </w:tcPr>
          <w:p w14:paraId="577057FD">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按“第一篇三、供应商资格</w:t>
            </w:r>
            <w:r>
              <w:rPr>
                <w:rFonts w:hint="default" w:ascii="Times New Roman" w:hAnsi="Times New Roman" w:eastAsia="方正仿宋_GBK" w:cs="Times New Roman"/>
                <w:color w:val="auto"/>
                <w:sz w:val="21"/>
                <w:szCs w:val="21"/>
                <w:highlight w:val="none"/>
                <w:lang w:val="en-US" w:eastAsia="zh-CN"/>
              </w:rPr>
              <w:t>条件</w:t>
            </w: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color w:val="auto"/>
                <w:sz w:val="21"/>
                <w:szCs w:val="21"/>
                <w:highlight w:val="none"/>
                <w:lang w:val="en-US" w:eastAsia="zh-CN"/>
              </w:rPr>
              <w:t>二</w:t>
            </w:r>
            <w:r>
              <w:rPr>
                <w:rFonts w:hint="default" w:ascii="Times New Roman" w:hAnsi="Times New Roman" w:eastAsia="方正仿宋_GBK" w:cs="Times New Roman"/>
                <w:color w:val="auto"/>
                <w:sz w:val="21"/>
                <w:szCs w:val="21"/>
                <w:highlight w:val="none"/>
              </w:rPr>
              <w:t>）本项目的特定资格要求”的要求提交（如果有）。</w:t>
            </w:r>
          </w:p>
        </w:tc>
      </w:tr>
    </w:tbl>
    <w:p w14:paraId="412B4B6C">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注：</w:t>
      </w:r>
    </w:p>
    <w:p w14:paraId="567D98DE">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66B6D89">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2.符合性审查。依据</w:t>
      </w:r>
      <w:r>
        <w:rPr>
          <w:rFonts w:hint="default" w:ascii="Times New Roman" w:hAnsi="Times New Roman" w:eastAsia="方正仿宋_GBK" w:cs="Times New Roman"/>
          <w:color w:val="auto"/>
          <w:kern w:val="0"/>
          <w:sz w:val="24"/>
          <w:szCs w:val="24"/>
          <w:highlight w:val="none"/>
          <w:lang w:eastAsia="zh-CN"/>
        </w:rPr>
        <w:t>公开比选</w:t>
      </w:r>
      <w:r>
        <w:rPr>
          <w:rFonts w:hint="default" w:ascii="Times New Roman" w:hAnsi="Times New Roman" w:eastAsia="方正仿宋_GBK" w:cs="Times New Roman"/>
          <w:color w:val="auto"/>
          <w:kern w:val="0"/>
          <w:sz w:val="24"/>
          <w:szCs w:val="24"/>
          <w:highlight w:val="none"/>
        </w:rPr>
        <w:t>文件的规定，从响应文件的有效性、完整性和对</w:t>
      </w:r>
      <w:r>
        <w:rPr>
          <w:rFonts w:hint="default" w:ascii="Times New Roman" w:hAnsi="Times New Roman" w:eastAsia="方正仿宋_GBK" w:cs="Times New Roman"/>
          <w:color w:val="auto"/>
          <w:kern w:val="0"/>
          <w:sz w:val="24"/>
          <w:szCs w:val="24"/>
          <w:highlight w:val="none"/>
          <w:lang w:eastAsia="zh-CN"/>
        </w:rPr>
        <w:t>公开比选</w:t>
      </w:r>
      <w:r>
        <w:rPr>
          <w:rFonts w:hint="default" w:ascii="Times New Roman" w:hAnsi="Times New Roman" w:eastAsia="方正仿宋_GBK" w:cs="Times New Roman"/>
          <w:color w:val="auto"/>
          <w:kern w:val="0"/>
          <w:sz w:val="24"/>
          <w:szCs w:val="24"/>
          <w:highlight w:val="none"/>
        </w:rPr>
        <w:t>文件的响应程度进行审查，以确定是否对</w:t>
      </w:r>
      <w:r>
        <w:rPr>
          <w:rFonts w:hint="default" w:ascii="Times New Roman" w:hAnsi="Times New Roman" w:eastAsia="方正仿宋_GBK" w:cs="Times New Roman"/>
          <w:color w:val="auto"/>
          <w:kern w:val="0"/>
          <w:sz w:val="24"/>
          <w:szCs w:val="24"/>
          <w:highlight w:val="none"/>
          <w:lang w:eastAsia="zh-CN"/>
        </w:rPr>
        <w:t>公开比选</w:t>
      </w:r>
      <w:r>
        <w:rPr>
          <w:rFonts w:hint="default" w:ascii="Times New Roman" w:hAnsi="Times New Roman" w:eastAsia="方正仿宋_GBK" w:cs="Times New Roman"/>
          <w:color w:val="auto"/>
          <w:kern w:val="0"/>
          <w:sz w:val="24"/>
          <w:szCs w:val="24"/>
          <w:highlight w:val="none"/>
        </w:rPr>
        <w:t>文件的实质性要求作出响应。符合性审查资料表如下：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F48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77FCEB6F">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序号</w:t>
            </w:r>
          </w:p>
        </w:tc>
        <w:tc>
          <w:tcPr>
            <w:tcW w:w="3544" w:type="dxa"/>
            <w:gridSpan w:val="2"/>
            <w:noWrap w:val="0"/>
            <w:vAlign w:val="center"/>
          </w:tcPr>
          <w:p w14:paraId="37758539">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评审因素</w:t>
            </w:r>
          </w:p>
        </w:tc>
        <w:tc>
          <w:tcPr>
            <w:tcW w:w="5409" w:type="dxa"/>
            <w:noWrap w:val="0"/>
            <w:vAlign w:val="center"/>
          </w:tcPr>
          <w:p w14:paraId="09CAC007">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评审标准</w:t>
            </w:r>
          </w:p>
        </w:tc>
      </w:tr>
      <w:tr w14:paraId="3113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72F3C107">
            <w:pPr>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1560" w:type="dxa"/>
            <w:vMerge w:val="restart"/>
            <w:noWrap w:val="0"/>
            <w:vAlign w:val="center"/>
          </w:tcPr>
          <w:p w14:paraId="56A9E5AB">
            <w:p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有效性审查</w:t>
            </w:r>
          </w:p>
        </w:tc>
        <w:tc>
          <w:tcPr>
            <w:tcW w:w="1984" w:type="dxa"/>
            <w:noWrap w:val="0"/>
            <w:vAlign w:val="center"/>
          </w:tcPr>
          <w:p w14:paraId="39644403">
            <w:p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响应文件签署或盖章</w:t>
            </w:r>
          </w:p>
        </w:tc>
        <w:tc>
          <w:tcPr>
            <w:tcW w:w="5409" w:type="dxa"/>
            <w:noWrap w:val="0"/>
            <w:vAlign w:val="center"/>
          </w:tcPr>
          <w:p w14:paraId="5FB38860">
            <w:p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按</w:t>
            </w:r>
            <w:r>
              <w:rPr>
                <w:rFonts w:hint="default" w:ascii="Times New Roman" w:hAnsi="Times New Roman" w:eastAsia="方正仿宋_GBK" w:cs="Times New Roman"/>
                <w:color w:val="auto"/>
                <w:sz w:val="21"/>
                <w:szCs w:val="21"/>
                <w:highlight w:val="none"/>
                <w:lang w:eastAsia="zh-CN"/>
              </w:rPr>
              <w:t>公开比选</w:t>
            </w:r>
            <w:r>
              <w:rPr>
                <w:rFonts w:hint="default" w:ascii="Times New Roman" w:hAnsi="Times New Roman" w:eastAsia="方正仿宋_GBK" w:cs="Times New Roman"/>
                <w:color w:val="auto"/>
                <w:sz w:val="21"/>
                <w:szCs w:val="21"/>
                <w:highlight w:val="none"/>
              </w:rPr>
              <w:t>文件“第七篇响应文件编制要求”要求签署或盖章。</w:t>
            </w:r>
          </w:p>
        </w:tc>
      </w:tr>
      <w:tr w14:paraId="1DE1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04427634">
            <w:pPr>
              <w:jc w:val="center"/>
              <w:rPr>
                <w:rFonts w:hint="default" w:ascii="Times New Roman" w:hAnsi="Times New Roman" w:eastAsia="方正仿宋_GBK" w:cs="Times New Roman"/>
                <w:color w:val="auto"/>
                <w:kern w:val="0"/>
                <w:sz w:val="21"/>
                <w:szCs w:val="21"/>
                <w:highlight w:val="none"/>
              </w:rPr>
            </w:pPr>
          </w:p>
        </w:tc>
        <w:tc>
          <w:tcPr>
            <w:tcW w:w="1560" w:type="dxa"/>
            <w:vMerge w:val="continue"/>
            <w:noWrap w:val="0"/>
            <w:vAlign w:val="center"/>
          </w:tcPr>
          <w:p w14:paraId="65D132C9">
            <w:pPr>
              <w:rPr>
                <w:rFonts w:hint="default" w:ascii="Times New Roman" w:hAnsi="Times New Roman" w:eastAsia="方正仿宋_GBK" w:cs="Times New Roman"/>
                <w:color w:val="auto"/>
                <w:kern w:val="0"/>
                <w:sz w:val="21"/>
                <w:szCs w:val="21"/>
                <w:highlight w:val="none"/>
              </w:rPr>
            </w:pPr>
          </w:p>
        </w:tc>
        <w:tc>
          <w:tcPr>
            <w:tcW w:w="1984" w:type="dxa"/>
            <w:noWrap w:val="0"/>
            <w:vAlign w:val="center"/>
          </w:tcPr>
          <w:p w14:paraId="7F8725F7">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法定代表人身份证明及授权委托书</w:t>
            </w:r>
          </w:p>
        </w:tc>
        <w:tc>
          <w:tcPr>
            <w:tcW w:w="5409" w:type="dxa"/>
            <w:noWrap w:val="0"/>
            <w:vAlign w:val="center"/>
          </w:tcPr>
          <w:p w14:paraId="7D8518A6">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法定代表人身份证明及授权委托书有效，符合</w:t>
            </w:r>
            <w:r>
              <w:rPr>
                <w:rFonts w:hint="default" w:ascii="Times New Roman" w:hAnsi="Times New Roman" w:eastAsia="方正仿宋_GBK" w:cs="Times New Roman"/>
                <w:color w:val="auto"/>
                <w:sz w:val="21"/>
                <w:szCs w:val="21"/>
                <w:highlight w:val="none"/>
                <w:lang w:eastAsia="zh-CN"/>
              </w:rPr>
              <w:t>公开比选</w:t>
            </w:r>
            <w:r>
              <w:rPr>
                <w:rFonts w:hint="default" w:ascii="Times New Roman" w:hAnsi="Times New Roman" w:eastAsia="方正仿宋_GBK" w:cs="Times New Roman"/>
                <w:color w:val="auto"/>
                <w:sz w:val="21"/>
                <w:szCs w:val="21"/>
                <w:highlight w:val="none"/>
              </w:rPr>
              <w:t>文件规定的格式，签署或盖章齐全。</w:t>
            </w:r>
          </w:p>
        </w:tc>
      </w:tr>
      <w:tr w14:paraId="00A7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39AC919E">
            <w:pPr>
              <w:jc w:val="center"/>
              <w:rPr>
                <w:rFonts w:hint="default" w:ascii="Times New Roman" w:hAnsi="Times New Roman" w:eastAsia="方正仿宋_GBK" w:cs="Times New Roman"/>
                <w:color w:val="auto"/>
                <w:kern w:val="0"/>
                <w:sz w:val="21"/>
                <w:szCs w:val="21"/>
                <w:highlight w:val="none"/>
              </w:rPr>
            </w:pPr>
          </w:p>
        </w:tc>
        <w:tc>
          <w:tcPr>
            <w:tcW w:w="1560" w:type="dxa"/>
            <w:vMerge w:val="continue"/>
            <w:noWrap w:val="0"/>
            <w:vAlign w:val="center"/>
          </w:tcPr>
          <w:p w14:paraId="359B8A0D">
            <w:pPr>
              <w:rPr>
                <w:rFonts w:hint="default" w:ascii="Times New Roman" w:hAnsi="Times New Roman" w:eastAsia="方正仿宋_GBK" w:cs="Times New Roman"/>
                <w:color w:val="auto"/>
                <w:kern w:val="0"/>
                <w:sz w:val="21"/>
                <w:szCs w:val="21"/>
                <w:highlight w:val="none"/>
              </w:rPr>
            </w:pPr>
          </w:p>
        </w:tc>
        <w:tc>
          <w:tcPr>
            <w:tcW w:w="1984" w:type="dxa"/>
            <w:noWrap w:val="0"/>
            <w:vAlign w:val="center"/>
          </w:tcPr>
          <w:p w14:paraId="59C85C7B">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方案</w:t>
            </w:r>
          </w:p>
        </w:tc>
        <w:tc>
          <w:tcPr>
            <w:tcW w:w="5409" w:type="dxa"/>
            <w:noWrap w:val="0"/>
            <w:vAlign w:val="center"/>
          </w:tcPr>
          <w:p w14:paraId="0185426C">
            <w:p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lang w:val="zh-CN"/>
              </w:rPr>
              <w:t>每个包只能有一个</w:t>
            </w: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方案。</w:t>
            </w:r>
          </w:p>
        </w:tc>
      </w:tr>
      <w:tr w14:paraId="3EF8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6993CB7D">
            <w:pPr>
              <w:jc w:val="center"/>
              <w:rPr>
                <w:rFonts w:hint="default" w:ascii="Times New Roman" w:hAnsi="Times New Roman" w:eastAsia="方正仿宋_GBK" w:cs="Times New Roman"/>
                <w:color w:val="auto"/>
                <w:kern w:val="0"/>
                <w:sz w:val="21"/>
                <w:szCs w:val="21"/>
                <w:highlight w:val="none"/>
              </w:rPr>
            </w:pPr>
          </w:p>
        </w:tc>
        <w:tc>
          <w:tcPr>
            <w:tcW w:w="1560" w:type="dxa"/>
            <w:vMerge w:val="continue"/>
            <w:noWrap w:val="0"/>
            <w:vAlign w:val="center"/>
          </w:tcPr>
          <w:p w14:paraId="427C8049">
            <w:pPr>
              <w:rPr>
                <w:rFonts w:hint="default" w:ascii="Times New Roman" w:hAnsi="Times New Roman" w:eastAsia="方正仿宋_GBK" w:cs="Times New Roman"/>
                <w:color w:val="auto"/>
                <w:kern w:val="0"/>
                <w:sz w:val="21"/>
                <w:szCs w:val="21"/>
                <w:highlight w:val="none"/>
              </w:rPr>
            </w:pPr>
          </w:p>
        </w:tc>
        <w:tc>
          <w:tcPr>
            <w:tcW w:w="1984" w:type="dxa"/>
            <w:noWrap w:val="0"/>
            <w:vAlign w:val="center"/>
          </w:tcPr>
          <w:p w14:paraId="306E4DE6">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报价唯一</w:t>
            </w:r>
          </w:p>
        </w:tc>
        <w:tc>
          <w:tcPr>
            <w:tcW w:w="5409" w:type="dxa"/>
            <w:noWrap w:val="0"/>
            <w:vAlign w:val="center"/>
          </w:tcPr>
          <w:p w14:paraId="542D5603">
            <w:p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只能有一个有效报价，不得提交选择性报价。</w:t>
            </w:r>
          </w:p>
        </w:tc>
      </w:tr>
      <w:tr w14:paraId="14A0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149B5D79">
            <w:pPr>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p>
        </w:tc>
        <w:tc>
          <w:tcPr>
            <w:tcW w:w="1560" w:type="dxa"/>
            <w:noWrap w:val="0"/>
            <w:vAlign w:val="center"/>
          </w:tcPr>
          <w:p w14:paraId="7B2DAF58">
            <w:p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完整性审查</w:t>
            </w:r>
          </w:p>
        </w:tc>
        <w:tc>
          <w:tcPr>
            <w:tcW w:w="1984" w:type="dxa"/>
            <w:noWrap w:val="0"/>
            <w:vAlign w:val="center"/>
          </w:tcPr>
          <w:p w14:paraId="0DB838E0">
            <w:p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文件份数</w:t>
            </w:r>
          </w:p>
        </w:tc>
        <w:tc>
          <w:tcPr>
            <w:tcW w:w="5409" w:type="dxa"/>
            <w:noWrap w:val="0"/>
            <w:vAlign w:val="center"/>
          </w:tcPr>
          <w:p w14:paraId="6BB9B526">
            <w:p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文件正、副本数量符合</w:t>
            </w:r>
            <w:r>
              <w:rPr>
                <w:rFonts w:hint="default" w:ascii="Times New Roman" w:hAnsi="Times New Roman" w:eastAsia="方正仿宋_GBK" w:cs="Times New Roman"/>
                <w:color w:val="auto"/>
                <w:sz w:val="21"/>
                <w:szCs w:val="21"/>
                <w:highlight w:val="none"/>
                <w:lang w:eastAsia="zh-CN"/>
              </w:rPr>
              <w:t>公开比选</w:t>
            </w:r>
            <w:r>
              <w:rPr>
                <w:rFonts w:hint="default" w:ascii="Times New Roman" w:hAnsi="Times New Roman" w:eastAsia="方正仿宋_GBK" w:cs="Times New Roman"/>
                <w:color w:val="auto"/>
                <w:sz w:val="21"/>
                <w:szCs w:val="21"/>
                <w:highlight w:val="none"/>
                <w:lang w:val="zh-CN"/>
              </w:rPr>
              <w:t>文件要求。</w:t>
            </w:r>
          </w:p>
        </w:tc>
      </w:tr>
      <w:tr w14:paraId="6FA6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9C15D62">
            <w:pPr>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w:t>
            </w:r>
          </w:p>
        </w:tc>
        <w:tc>
          <w:tcPr>
            <w:tcW w:w="1560" w:type="dxa"/>
            <w:vMerge w:val="restart"/>
            <w:noWrap w:val="0"/>
            <w:vAlign w:val="center"/>
          </w:tcPr>
          <w:p w14:paraId="6B5D2E6E">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kern w:val="0"/>
                <w:sz w:val="21"/>
                <w:szCs w:val="21"/>
                <w:highlight w:val="none"/>
              </w:rPr>
              <w:t>响应程度审查</w:t>
            </w:r>
          </w:p>
        </w:tc>
        <w:tc>
          <w:tcPr>
            <w:tcW w:w="1984" w:type="dxa"/>
            <w:noWrap w:val="0"/>
            <w:vAlign w:val="center"/>
          </w:tcPr>
          <w:p w14:paraId="282CC045">
            <w:p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实质性响应</w:t>
            </w:r>
          </w:p>
        </w:tc>
        <w:tc>
          <w:tcPr>
            <w:tcW w:w="5409" w:type="dxa"/>
            <w:noWrap w:val="0"/>
            <w:vAlign w:val="center"/>
          </w:tcPr>
          <w:p w14:paraId="129D5DC2">
            <w:p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公开比选</w:t>
            </w:r>
            <w:r>
              <w:rPr>
                <w:rFonts w:hint="default" w:ascii="Times New Roman" w:hAnsi="Times New Roman" w:eastAsia="方正仿宋_GBK" w:cs="Times New Roman"/>
                <w:color w:val="auto"/>
                <w:kern w:val="0"/>
                <w:sz w:val="21"/>
                <w:szCs w:val="21"/>
                <w:highlight w:val="none"/>
              </w:rPr>
              <w:t>文件第二篇、第三篇“</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kern w:val="0"/>
                <w:sz w:val="21"/>
                <w:szCs w:val="21"/>
                <w:highlight w:val="none"/>
              </w:rPr>
              <w:t>”标注部分。</w:t>
            </w:r>
          </w:p>
        </w:tc>
      </w:tr>
      <w:tr w14:paraId="09DB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38B416C7">
            <w:pPr>
              <w:jc w:val="center"/>
              <w:rPr>
                <w:rFonts w:hint="default" w:ascii="Times New Roman" w:hAnsi="Times New Roman" w:eastAsia="方正仿宋_GBK" w:cs="Times New Roman"/>
                <w:color w:val="auto"/>
                <w:kern w:val="0"/>
                <w:sz w:val="21"/>
                <w:szCs w:val="21"/>
                <w:highlight w:val="none"/>
              </w:rPr>
            </w:pPr>
          </w:p>
        </w:tc>
        <w:tc>
          <w:tcPr>
            <w:tcW w:w="1560" w:type="dxa"/>
            <w:vMerge w:val="continue"/>
            <w:noWrap w:val="0"/>
            <w:vAlign w:val="center"/>
          </w:tcPr>
          <w:p w14:paraId="09BDB1EF">
            <w:pPr>
              <w:rPr>
                <w:rFonts w:hint="default" w:ascii="Times New Roman" w:hAnsi="Times New Roman" w:eastAsia="方正仿宋_GBK" w:cs="Times New Roman"/>
                <w:color w:val="auto"/>
                <w:sz w:val="21"/>
                <w:szCs w:val="21"/>
                <w:highlight w:val="none"/>
                <w:lang w:val="zh-CN"/>
              </w:rPr>
            </w:pPr>
          </w:p>
        </w:tc>
        <w:tc>
          <w:tcPr>
            <w:tcW w:w="1984" w:type="dxa"/>
            <w:noWrap w:val="0"/>
            <w:vAlign w:val="center"/>
          </w:tcPr>
          <w:p w14:paraId="7AB07EB2">
            <w:p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比选</w:t>
            </w:r>
            <w:r>
              <w:rPr>
                <w:rFonts w:hint="default" w:ascii="Times New Roman" w:hAnsi="Times New Roman" w:eastAsia="方正仿宋_GBK" w:cs="Times New Roman"/>
                <w:color w:val="auto"/>
                <w:kern w:val="0"/>
                <w:sz w:val="21"/>
                <w:szCs w:val="21"/>
                <w:highlight w:val="none"/>
              </w:rPr>
              <w:t>有效期</w:t>
            </w:r>
          </w:p>
        </w:tc>
        <w:tc>
          <w:tcPr>
            <w:tcW w:w="5409" w:type="dxa"/>
            <w:noWrap w:val="0"/>
            <w:vAlign w:val="center"/>
          </w:tcPr>
          <w:p w14:paraId="2D8A454C">
            <w:p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响应文件及有关承诺文件有效期为提交响应文件截止时间起90天。</w:t>
            </w:r>
          </w:p>
        </w:tc>
      </w:tr>
    </w:tbl>
    <w:p w14:paraId="045BD0CA">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（三）澄清有关问题。</w:t>
      </w:r>
      <w:r>
        <w:rPr>
          <w:rFonts w:hint="default" w:ascii="Times New Roman" w:hAnsi="Times New Roman" w:eastAsia="方正仿宋_GBK" w:cs="Times New Roman"/>
          <w:color w:val="auto"/>
          <w:sz w:val="24"/>
          <w:szCs w:val="24"/>
          <w:highlight w:val="none"/>
          <w:lang w:eastAsia="zh-CN"/>
        </w:rPr>
        <w:t>比选</w:t>
      </w:r>
      <w:r>
        <w:rPr>
          <w:rFonts w:hint="default" w:ascii="Times New Roman" w:hAnsi="Times New Roman" w:eastAsia="方正仿宋_GBK" w:cs="Times New Roman"/>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663EBB1">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w:t>
      </w:r>
      <w:r>
        <w:rPr>
          <w:rFonts w:hint="default" w:ascii="Times New Roman" w:hAnsi="Times New Roman" w:eastAsia="方正仿宋_GBK" w:cs="Times New Roman"/>
          <w:color w:val="auto"/>
          <w:sz w:val="24"/>
          <w:szCs w:val="24"/>
          <w:highlight w:val="none"/>
          <w:lang w:eastAsia="zh-CN"/>
        </w:rPr>
        <w:t>比选</w:t>
      </w:r>
      <w:r>
        <w:rPr>
          <w:rFonts w:hint="default" w:ascii="Times New Roman" w:hAnsi="Times New Roman" w:eastAsia="方正仿宋_GBK" w:cs="Times New Roman"/>
          <w:color w:val="auto"/>
          <w:sz w:val="24"/>
          <w:szCs w:val="24"/>
          <w:highlight w:val="none"/>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219B911">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五</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组织二次报价</w:t>
      </w:r>
      <w:r>
        <w:rPr>
          <w:rFonts w:hint="default" w:ascii="Times New Roman" w:hAnsi="Times New Roman" w:eastAsia="方正仿宋_GBK" w:cs="Times New Roman"/>
          <w:color w:val="auto"/>
          <w:sz w:val="24"/>
          <w:szCs w:val="24"/>
          <w:highlight w:val="none"/>
        </w:rPr>
        <w:t>（最终报价）。</w:t>
      </w:r>
    </w:p>
    <w:p w14:paraId="2C8B6F6A">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采购人组织通过资格审查和符合性审查的供应商，根据项目实际情况分别与供应商进行谈判，供应商作出二次报价（最终报价），已提交响应文件但未在规定时间内进行最后报价的供应商，视为放弃最后报价，以供应商响应文件中的报价为准。</w:t>
      </w:r>
    </w:p>
    <w:p w14:paraId="6A7FD532">
      <w:pPr>
        <w:pStyle w:val="25"/>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default" w:ascii="Times New Roman" w:hAnsi="Times New Roman" w:cs="Times New Roman"/>
          <w:color w:val="auto"/>
          <w:highlight w:val="none"/>
        </w:rPr>
      </w:pPr>
      <w:bookmarkStart w:id="24" w:name="_Toc7517087"/>
      <w:bookmarkStart w:id="25" w:name="_Toc27869"/>
      <w:bookmarkStart w:id="26" w:name="_Toc7992"/>
      <w:bookmarkStart w:id="27" w:name="_Toc7517365"/>
      <w:r>
        <w:rPr>
          <w:rFonts w:hint="eastAsia" w:ascii="Times New Roman" w:hAnsi="Times New Roman" w:cs="Times New Roman"/>
          <w:color w:val="auto"/>
          <w:highlight w:val="none"/>
          <w:lang w:val="en-US" w:eastAsia="zh-CN"/>
        </w:rPr>
        <w:t>（六）比选</w:t>
      </w:r>
      <w:r>
        <w:rPr>
          <w:rFonts w:hint="default" w:ascii="Times New Roman" w:hAnsi="Times New Roman" w:cs="Times New Roman"/>
          <w:color w:val="auto"/>
          <w:highlight w:val="none"/>
        </w:rPr>
        <w:t>小组采用</w:t>
      </w:r>
      <w:r>
        <w:rPr>
          <w:rFonts w:hint="default" w:ascii="Times New Roman" w:hAnsi="Times New Roman" w:cs="Times New Roman"/>
          <w:color w:val="auto"/>
          <w:highlight w:val="none"/>
          <w:u w:val="single"/>
        </w:rPr>
        <w:t>综合评分法</w:t>
      </w:r>
      <w:r>
        <w:rPr>
          <w:rFonts w:hint="default" w:ascii="Times New Roman" w:hAnsi="Times New Roman" w:cs="Times New Roman"/>
          <w:color w:val="auto"/>
          <w:highlight w:val="none"/>
        </w:rPr>
        <w:t>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0822A2D9">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标结果记录表。</w:t>
      </w:r>
    </w:p>
    <w:p w14:paraId="24F4298D">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若供应商的评审得分相同的，按照最后报价由低到高的顺序排列推荐。评审得分且最后报价相同的，按照服务指标优劣顺序排列推荐。以上都相同的，按商务条款的优劣顺序排列推荐。</w:t>
      </w:r>
    </w:p>
    <w:p w14:paraId="71AFF9EB">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）成交价格=成交供应商的报价。</w:t>
      </w:r>
    </w:p>
    <w:p w14:paraId="07BC91FC">
      <w:pPr>
        <w:pStyle w:val="26"/>
        <w:keepNext/>
        <w:pageBreakBefore w:val="0"/>
        <w:widowControl w:val="0"/>
        <w:kinsoku/>
        <w:wordWrap/>
        <w:overflowPunct/>
        <w:topLinePunct w:val="0"/>
        <w:autoSpaceDE/>
        <w:autoSpaceDN/>
        <w:bidi w:val="0"/>
        <w:snapToGrid w:val="0"/>
        <w:spacing w:line="48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二、评审标准</w:t>
      </w:r>
      <w:bookmarkEnd w:id="24"/>
      <w:bookmarkEnd w:id="25"/>
      <w:bookmarkEnd w:id="26"/>
      <w:bookmarkEnd w:id="27"/>
    </w:p>
    <w:tbl>
      <w:tblPr>
        <w:tblStyle w:val="21"/>
        <w:tblW w:w="9624" w:type="dxa"/>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90"/>
        <w:gridCol w:w="929"/>
        <w:gridCol w:w="735"/>
        <w:gridCol w:w="750"/>
        <w:gridCol w:w="4767"/>
        <w:gridCol w:w="1953"/>
      </w:tblGrid>
      <w:tr w14:paraId="323FB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trPr>
        <w:tc>
          <w:tcPr>
            <w:tcW w:w="490" w:type="dxa"/>
            <w:noWrap w:val="0"/>
            <w:vAlign w:val="center"/>
          </w:tcPr>
          <w:p w14:paraId="2324808A">
            <w:pPr>
              <w:keepNext w:val="0"/>
              <w:keepLines w:val="0"/>
              <w:suppressLineNumbers w:val="0"/>
              <w:adjustRightInd w:val="0"/>
              <w:snapToGrid w:val="0"/>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b/>
                <w:color w:val="auto"/>
                <w:sz w:val="21"/>
                <w:szCs w:val="21"/>
                <w:highlight w:val="none"/>
              </w:rPr>
              <w:t>序号</w:t>
            </w:r>
          </w:p>
        </w:tc>
        <w:tc>
          <w:tcPr>
            <w:tcW w:w="1664" w:type="dxa"/>
            <w:gridSpan w:val="2"/>
            <w:noWrap w:val="0"/>
            <w:vAlign w:val="center"/>
          </w:tcPr>
          <w:p w14:paraId="74BF566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评分因素</w:t>
            </w:r>
          </w:p>
          <w:p w14:paraId="57F6D09C">
            <w:pPr>
              <w:keepNext w:val="0"/>
              <w:keepLines w:val="0"/>
              <w:suppressLineNumbers w:val="0"/>
              <w:adjustRightInd w:val="0"/>
              <w:snapToGrid w:val="0"/>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b/>
                <w:color w:val="auto"/>
                <w:sz w:val="21"/>
                <w:szCs w:val="21"/>
                <w:highlight w:val="none"/>
              </w:rPr>
              <w:t>及权重</w:t>
            </w:r>
          </w:p>
        </w:tc>
        <w:tc>
          <w:tcPr>
            <w:tcW w:w="750" w:type="dxa"/>
            <w:noWrap w:val="0"/>
            <w:vAlign w:val="center"/>
          </w:tcPr>
          <w:p w14:paraId="6384EFA7">
            <w:pPr>
              <w:keepNext w:val="0"/>
              <w:keepLines w:val="0"/>
              <w:suppressLineNumbers w:val="0"/>
              <w:adjustRightInd w:val="0"/>
              <w:snapToGrid w:val="0"/>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b/>
                <w:color w:val="auto"/>
                <w:sz w:val="21"/>
                <w:szCs w:val="21"/>
                <w:highlight w:val="none"/>
              </w:rPr>
              <w:t>分值</w:t>
            </w:r>
          </w:p>
        </w:tc>
        <w:tc>
          <w:tcPr>
            <w:tcW w:w="4767" w:type="dxa"/>
            <w:noWrap w:val="0"/>
            <w:vAlign w:val="center"/>
          </w:tcPr>
          <w:p w14:paraId="23E55D68">
            <w:pPr>
              <w:keepNext w:val="0"/>
              <w:keepLines w:val="0"/>
              <w:suppressLineNumbers w:val="0"/>
              <w:adjustRightInd w:val="0"/>
              <w:snapToGrid w:val="0"/>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b/>
                <w:color w:val="auto"/>
                <w:sz w:val="21"/>
                <w:szCs w:val="21"/>
                <w:highlight w:val="none"/>
              </w:rPr>
              <w:t>评分标准</w:t>
            </w:r>
          </w:p>
        </w:tc>
        <w:tc>
          <w:tcPr>
            <w:tcW w:w="1953" w:type="dxa"/>
            <w:noWrap w:val="0"/>
            <w:vAlign w:val="center"/>
          </w:tcPr>
          <w:p w14:paraId="026E4E20">
            <w:pPr>
              <w:keepNext w:val="0"/>
              <w:keepLines w:val="0"/>
              <w:suppressLineNumbers w:val="0"/>
              <w:adjustRightInd w:val="0"/>
              <w:snapToGrid w:val="0"/>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b/>
                <w:color w:val="auto"/>
                <w:sz w:val="21"/>
                <w:szCs w:val="21"/>
                <w:highlight w:val="none"/>
              </w:rPr>
              <w:t>说明</w:t>
            </w:r>
          </w:p>
        </w:tc>
      </w:tr>
      <w:tr w14:paraId="5ACD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3" w:hRule="atLeast"/>
        </w:trPr>
        <w:tc>
          <w:tcPr>
            <w:tcW w:w="490" w:type="dxa"/>
            <w:noWrap w:val="0"/>
            <w:vAlign w:val="center"/>
          </w:tcPr>
          <w:p w14:paraId="6461AF1F">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1</w:t>
            </w:r>
          </w:p>
        </w:tc>
        <w:tc>
          <w:tcPr>
            <w:tcW w:w="1664" w:type="dxa"/>
            <w:gridSpan w:val="2"/>
            <w:noWrap w:val="0"/>
            <w:vAlign w:val="center"/>
          </w:tcPr>
          <w:p w14:paraId="4C4B2F33">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设备投标报价（10%）</w:t>
            </w:r>
          </w:p>
        </w:tc>
        <w:tc>
          <w:tcPr>
            <w:tcW w:w="750" w:type="dxa"/>
            <w:noWrap w:val="0"/>
            <w:vAlign w:val="center"/>
          </w:tcPr>
          <w:p w14:paraId="722033D8">
            <w:pPr>
              <w:pageBreakBefore w:val="0"/>
              <w:widowControl w:val="0"/>
              <w:kinsoku/>
              <w:wordWrap/>
              <w:overflowPunct/>
              <w:topLinePunct w:val="0"/>
              <w:autoSpaceDE/>
              <w:autoSpaceDN/>
              <w:bidi w:val="0"/>
              <w:spacing w:line="240" w:lineRule="auto"/>
              <w:jc w:val="center"/>
              <w:textAlignment w:val="auto"/>
              <w:rPr>
                <w:rFonts w:hint="default"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10</w:t>
            </w:r>
          </w:p>
        </w:tc>
        <w:tc>
          <w:tcPr>
            <w:tcW w:w="4767" w:type="dxa"/>
            <w:noWrap w:val="0"/>
            <w:vAlign w:val="center"/>
          </w:tcPr>
          <w:p w14:paraId="339F509C">
            <w:pPr>
              <w:keepNext w:val="0"/>
              <w:keepLines w:val="0"/>
              <w:suppressLineNumbers w:val="0"/>
              <w:adjustRightInd w:val="0"/>
              <w:snapToGrid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有效的投标报价中的最低价为评标基准价，其价格分为满分。按照下列公式计算每个</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的投标价格得分。</w:t>
            </w:r>
          </w:p>
          <w:p w14:paraId="7D5D149E">
            <w:pPr>
              <w:keepNext w:val="0"/>
              <w:keepLines w:val="0"/>
              <w:suppressLineNumbers w:val="0"/>
              <w:adjustRightInd w:val="0"/>
              <w:snapToGrid w:val="0"/>
              <w:spacing w:before="0" w:beforeAutospacing="0" w:after="0" w:afterAutospacing="0"/>
              <w:ind w:left="0" w:leftChars="0" w:right="0" w:rightChars="0"/>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color w:val="auto"/>
                <w:sz w:val="21"/>
                <w:szCs w:val="21"/>
                <w:highlight w:val="none"/>
              </w:rPr>
              <w:t>投标报价得分＝（评标基准价/投标报价）×</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%×100。</w:t>
            </w:r>
          </w:p>
        </w:tc>
        <w:tc>
          <w:tcPr>
            <w:tcW w:w="1953" w:type="dxa"/>
            <w:noWrap w:val="0"/>
            <w:vAlign w:val="center"/>
          </w:tcPr>
          <w:p w14:paraId="0B6F317C">
            <w:pPr>
              <w:keepNext w:val="0"/>
              <w:keepLines w:val="0"/>
              <w:suppressLineNumbers w:val="0"/>
              <w:adjustRightInd w:val="0"/>
              <w:snapToGrid w:val="0"/>
              <w:spacing w:before="0" w:beforeAutospacing="0" w:after="0" w:afterAutospacing="0"/>
              <w:ind w:left="0" w:leftChars="0" w:right="0" w:rightChars="0"/>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按照报价说明和第二轮报价结果计算设备价格分，最低价为评标基准价</w:t>
            </w:r>
          </w:p>
        </w:tc>
      </w:tr>
      <w:tr w14:paraId="4E45C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4" w:hRule="atLeast"/>
        </w:trPr>
        <w:tc>
          <w:tcPr>
            <w:tcW w:w="490" w:type="dxa"/>
            <w:noWrap w:val="0"/>
            <w:vAlign w:val="center"/>
          </w:tcPr>
          <w:p w14:paraId="4A9A7A1E">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2</w:t>
            </w:r>
          </w:p>
        </w:tc>
        <w:tc>
          <w:tcPr>
            <w:tcW w:w="1664" w:type="dxa"/>
            <w:gridSpan w:val="2"/>
            <w:noWrap w:val="0"/>
            <w:vAlign w:val="center"/>
          </w:tcPr>
          <w:p w14:paraId="5A4521CB">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耗材投标报价（30%）</w:t>
            </w:r>
          </w:p>
        </w:tc>
        <w:tc>
          <w:tcPr>
            <w:tcW w:w="750" w:type="dxa"/>
            <w:noWrap w:val="0"/>
            <w:vAlign w:val="center"/>
          </w:tcPr>
          <w:p w14:paraId="632BE101">
            <w:pPr>
              <w:pageBreakBefore w:val="0"/>
              <w:widowControl w:val="0"/>
              <w:kinsoku/>
              <w:wordWrap/>
              <w:overflowPunct/>
              <w:topLinePunct w:val="0"/>
              <w:autoSpaceDE/>
              <w:autoSpaceDN/>
              <w:bidi w:val="0"/>
              <w:spacing w:line="240" w:lineRule="auto"/>
              <w:jc w:val="center"/>
              <w:textAlignment w:val="auto"/>
              <w:rPr>
                <w:rFonts w:hint="default"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30</w:t>
            </w:r>
          </w:p>
        </w:tc>
        <w:tc>
          <w:tcPr>
            <w:tcW w:w="4767" w:type="dxa"/>
            <w:noWrap w:val="0"/>
            <w:vAlign w:val="center"/>
          </w:tcPr>
          <w:p w14:paraId="4063B2FE">
            <w:pPr>
              <w:keepNext w:val="0"/>
              <w:keepLines w:val="0"/>
              <w:suppressLineNumbers w:val="0"/>
              <w:adjustRightInd w:val="0"/>
              <w:snapToGrid w:val="0"/>
              <w:spacing w:before="0" w:beforeAutospacing="0" w:after="0" w:afterAutospacing="0"/>
              <w:ind w:left="0"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有效的耗材单人份投标报价中的最低价为评标基准价，按照下列公式计算每个投标人的投标价格得分。</w:t>
            </w:r>
          </w:p>
          <w:p w14:paraId="44CB1852">
            <w:pPr>
              <w:keepNext w:val="0"/>
              <w:keepLines w:val="0"/>
              <w:suppressLineNumbers w:val="0"/>
              <w:adjustRightInd w:val="0"/>
              <w:snapToGrid w:val="0"/>
              <w:spacing w:before="0" w:beforeAutospacing="0" w:after="0" w:afterAutospacing="0"/>
              <w:ind w:left="0"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投标报价得分＝（评标基准价/投标报价）×30%×100。</w:t>
            </w:r>
          </w:p>
        </w:tc>
        <w:tc>
          <w:tcPr>
            <w:tcW w:w="1953" w:type="dxa"/>
            <w:shd w:val="clear" w:color="auto" w:fill="auto"/>
            <w:noWrap w:val="0"/>
            <w:vAlign w:val="center"/>
          </w:tcPr>
          <w:p w14:paraId="4D2C72D6">
            <w:pPr>
              <w:keepNext w:val="0"/>
              <w:keepLines w:val="0"/>
              <w:suppressLineNumbers w:val="0"/>
              <w:adjustRightInd w:val="0"/>
              <w:snapToGrid w:val="0"/>
              <w:spacing w:before="0" w:beforeAutospacing="0" w:after="0" w:afterAutospacing="0"/>
              <w:ind w:left="0"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按照报价说明和第二轮报价结果（承诺的综合耗占比）计算耗材价格分</w:t>
            </w:r>
          </w:p>
        </w:tc>
      </w:tr>
      <w:tr w14:paraId="5D04B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91" w:hRule="atLeast"/>
        </w:trPr>
        <w:tc>
          <w:tcPr>
            <w:tcW w:w="490" w:type="dxa"/>
            <w:noWrap w:val="0"/>
            <w:vAlign w:val="center"/>
          </w:tcPr>
          <w:p w14:paraId="0D60BFA9">
            <w:pPr>
              <w:pageBreakBefore w:val="0"/>
              <w:widowControl w:val="0"/>
              <w:kinsoku/>
              <w:wordWrap/>
              <w:overflowPunct/>
              <w:topLinePunct w:val="0"/>
              <w:autoSpaceDE/>
              <w:autoSpaceDN/>
              <w:bidi w:val="0"/>
              <w:spacing w:line="240" w:lineRule="auto"/>
              <w:jc w:val="center"/>
              <w:textAlignment w:val="auto"/>
              <w:rPr>
                <w:rFonts w:hint="default"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3</w:t>
            </w:r>
          </w:p>
        </w:tc>
        <w:tc>
          <w:tcPr>
            <w:tcW w:w="1664" w:type="dxa"/>
            <w:gridSpan w:val="2"/>
            <w:noWrap w:val="0"/>
            <w:vAlign w:val="center"/>
          </w:tcPr>
          <w:p w14:paraId="64B066B9">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技术部分</w:t>
            </w:r>
          </w:p>
          <w:p w14:paraId="6258BECA">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（40%）</w:t>
            </w:r>
          </w:p>
        </w:tc>
        <w:tc>
          <w:tcPr>
            <w:tcW w:w="750" w:type="dxa"/>
            <w:noWrap w:val="0"/>
            <w:vAlign w:val="center"/>
          </w:tcPr>
          <w:p w14:paraId="055263B5">
            <w:pPr>
              <w:pageBreakBefore w:val="0"/>
              <w:widowControl w:val="0"/>
              <w:kinsoku/>
              <w:wordWrap/>
              <w:overflowPunct/>
              <w:topLinePunct w:val="0"/>
              <w:autoSpaceDE/>
              <w:autoSpaceDN/>
              <w:bidi w:val="0"/>
              <w:spacing w:line="240" w:lineRule="auto"/>
              <w:jc w:val="center"/>
              <w:textAlignment w:val="auto"/>
              <w:rPr>
                <w:rFonts w:hint="default"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40</w:t>
            </w:r>
          </w:p>
        </w:tc>
        <w:tc>
          <w:tcPr>
            <w:tcW w:w="4767" w:type="dxa"/>
            <w:noWrap w:val="0"/>
            <w:vAlign w:val="top"/>
          </w:tcPr>
          <w:p w14:paraId="543B4058">
            <w:pPr>
              <w:keepNext w:val="0"/>
              <w:keepLines w:val="0"/>
              <w:suppressLineNumbers w:val="0"/>
              <w:adjustRightInd w:val="0"/>
              <w:snapToGrid w:val="0"/>
              <w:spacing w:before="0" w:beforeAutospacing="0" w:after="0" w:afterAutospacing="0"/>
              <w:ind w:left="0" w:right="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1、起评分：</w:t>
            </w:r>
          </w:p>
          <w:p w14:paraId="102C827D">
            <w:pPr>
              <w:keepNext w:val="0"/>
              <w:keepLines w:val="0"/>
              <w:suppressLineNumbers w:val="0"/>
              <w:adjustRightInd w:val="0"/>
              <w:snapToGrid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的起评分为</w:t>
            </w:r>
            <w:r>
              <w:rPr>
                <w:rFonts w:hint="eastAsia" w:ascii="仿宋" w:hAnsi="仿宋" w:eastAsia="仿宋" w:cs="仿宋"/>
                <w:color w:val="auto"/>
                <w:sz w:val="21"/>
                <w:szCs w:val="21"/>
                <w:highlight w:val="none"/>
                <w:lang w:val="en-US" w:eastAsia="zh-CN"/>
              </w:rPr>
              <w:t>40</w:t>
            </w:r>
            <w:r>
              <w:rPr>
                <w:rFonts w:hint="eastAsia" w:ascii="仿宋" w:hAnsi="仿宋" w:eastAsia="仿宋" w:cs="仿宋"/>
                <w:color w:val="auto"/>
                <w:sz w:val="21"/>
                <w:szCs w:val="21"/>
                <w:highlight w:val="none"/>
              </w:rPr>
              <w:t>分。</w:t>
            </w:r>
          </w:p>
          <w:p w14:paraId="30327DA7">
            <w:pPr>
              <w:keepNext w:val="0"/>
              <w:keepLines w:val="0"/>
              <w:suppressLineNumbers w:val="0"/>
              <w:adjustRightInd w:val="0"/>
              <w:snapToGrid w:val="0"/>
              <w:spacing w:before="0" w:beforeAutospacing="0" w:after="0" w:afterAutospacing="0"/>
              <w:ind w:left="0" w:right="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r>
              <w:rPr>
                <w:rFonts w:hint="eastAsia" w:ascii="仿宋" w:hAnsi="仿宋" w:eastAsia="仿宋" w:cs="仿宋"/>
                <w:b/>
                <w:bCs/>
                <w:color w:val="auto"/>
                <w:sz w:val="21"/>
                <w:szCs w:val="21"/>
                <w:highlight w:val="none"/>
                <w:lang w:val="en-US" w:eastAsia="zh-CN"/>
              </w:rPr>
              <w:t>扣</w:t>
            </w:r>
            <w:r>
              <w:rPr>
                <w:rFonts w:hint="eastAsia" w:ascii="仿宋" w:hAnsi="仿宋" w:eastAsia="仿宋" w:cs="仿宋"/>
                <w:b/>
                <w:bCs/>
                <w:color w:val="auto"/>
                <w:sz w:val="21"/>
                <w:szCs w:val="21"/>
                <w:highlight w:val="none"/>
              </w:rPr>
              <w:t>分条款：</w:t>
            </w:r>
          </w:p>
          <w:p w14:paraId="19CFCFFC">
            <w:pPr>
              <w:pageBreakBefore w:val="0"/>
              <w:widowControl w:val="0"/>
              <w:kinsoku/>
              <w:wordWrap/>
              <w:overflowPunct/>
              <w:topLinePunct w:val="0"/>
              <w:autoSpaceDE/>
              <w:autoSpaceDN/>
              <w:bidi w:val="0"/>
              <w:spacing w:line="240" w:lineRule="auto"/>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w:t>
            </w:r>
            <w:r>
              <w:rPr>
                <w:rFonts w:hint="eastAsia" w:ascii="方正仿宋_GBK" w:hAnsi="方正仿宋_GBK" w:eastAsia="方正仿宋_GBK" w:cs="方正仿宋_GBK"/>
                <w:color w:val="auto"/>
                <w:kern w:val="0"/>
                <w:sz w:val="21"/>
                <w:szCs w:val="21"/>
                <w:highlight w:val="none"/>
                <w:lang w:val="en-US" w:eastAsia="zh-CN"/>
              </w:rPr>
              <w:t>投标货物重要技术参数(招标项目技术需求中▲号标注的部分)共计3条，每负偏离一条扣除8分，最多扣除24分。</w:t>
            </w:r>
          </w:p>
          <w:p w14:paraId="3D6FF276">
            <w:pPr>
              <w:pageBreakBefore w:val="0"/>
              <w:widowControl w:val="0"/>
              <w:kinsoku/>
              <w:wordWrap/>
              <w:overflowPunct/>
              <w:topLinePunct w:val="0"/>
              <w:autoSpaceDE/>
              <w:autoSpaceDN/>
              <w:bidi w:val="0"/>
              <w:spacing w:line="240" w:lineRule="auto"/>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（2）投标货物一般技术参数(招标项目技术需求中非“※”及非“▲”号标注的部分)共计8条，每负偏离一条扣除2分，最多扣除16分。</w:t>
            </w:r>
          </w:p>
        </w:tc>
        <w:tc>
          <w:tcPr>
            <w:tcW w:w="1953" w:type="dxa"/>
            <w:noWrap w:val="0"/>
            <w:vAlign w:val="center"/>
          </w:tcPr>
          <w:p w14:paraId="1E658CE7">
            <w:pPr>
              <w:pageBreakBefore w:val="0"/>
              <w:widowControl w:val="0"/>
              <w:kinsoku/>
              <w:wordWrap/>
              <w:overflowPunct/>
              <w:topLinePunct w:val="0"/>
              <w:autoSpaceDE/>
              <w:autoSpaceDN/>
              <w:bidi w:val="0"/>
              <w:spacing w:line="240" w:lineRule="auto"/>
              <w:textAlignment w:val="auto"/>
              <w:rPr>
                <w:rFonts w:hint="eastAsia" w:ascii="方正仿宋_GBK" w:hAnsi="方正仿宋_GBK" w:eastAsia="方正仿宋_GBK" w:cs="方正仿宋_GBK"/>
                <w:color w:val="auto"/>
                <w:kern w:val="0"/>
                <w:sz w:val="21"/>
                <w:szCs w:val="21"/>
                <w:highlight w:val="none"/>
                <w:lang w:val="en-US" w:eastAsia="zh-CN"/>
              </w:rPr>
            </w:pPr>
          </w:p>
        </w:tc>
      </w:tr>
      <w:tr w14:paraId="05C8B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0" w:hRule="atLeast"/>
        </w:trPr>
        <w:tc>
          <w:tcPr>
            <w:tcW w:w="490" w:type="dxa"/>
            <w:noWrap w:val="0"/>
            <w:vAlign w:val="center"/>
          </w:tcPr>
          <w:p w14:paraId="7BF3D014">
            <w:pPr>
              <w:pageBreakBefore w:val="0"/>
              <w:widowControl w:val="0"/>
              <w:kinsoku/>
              <w:wordWrap/>
              <w:overflowPunct/>
              <w:topLinePunct w:val="0"/>
              <w:autoSpaceDE/>
              <w:autoSpaceDN/>
              <w:bidi w:val="0"/>
              <w:spacing w:line="240" w:lineRule="auto"/>
              <w:jc w:val="center"/>
              <w:textAlignment w:val="auto"/>
              <w:rPr>
                <w:rFonts w:hint="default"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4</w:t>
            </w:r>
          </w:p>
        </w:tc>
        <w:tc>
          <w:tcPr>
            <w:tcW w:w="1664" w:type="dxa"/>
            <w:gridSpan w:val="2"/>
            <w:noWrap w:val="0"/>
            <w:vAlign w:val="center"/>
          </w:tcPr>
          <w:p w14:paraId="231FD97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服务</w:t>
            </w:r>
            <w:r>
              <w:rPr>
                <w:rFonts w:hint="eastAsia" w:ascii="仿宋" w:hAnsi="仿宋" w:eastAsia="仿宋" w:cs="仿宋"/>
                <w:color w:val="auto"/>
                <w:sz w:val="21"/>
                <w:szCs w:val="21"/>
                <w:highlight w:val="none"/>
                <w:lang w:val="en-US" w:eastAsia="zh-CN"/>
              </w:rPr>
              <w:t>部分</w:t>
            </w:r>
          </w:p>
          <w:p w14:paraId="50E984F1">
            <w:pPr>
              <w:keepNext w:val="0"/>
              <w:keepLines w:val="0"/>
              <w:suppressLineNumbers w:val="0"/>
              <w:adjustRightInd w:val="0"/>
              <w:snapToGrid w:val="0"/>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w:t>
            </w:r>
          </w:p>
        </w:tc>
        <w:tc>
          <w:tcPr>
            <w:tcW w:w="750" w:type="dxa"/>
            <w:noWrap w:val="0"/>
            <w:vAlign w:val="center"/>
          </w:tcPr>
          <w:p w14:paraId="008F08F7">
            <w:pPr>
              <w:keepNext w:val="0"/>
              <w:keepLines w:val="0"/>
              <w:suppressLineNumbers w:val="0"/>
              <w:adjustRightInd w:val="0"/>
              <w:snapToGrid w:val="0"/>
              <w:spacing w:before="0" w:beforeAutospacing="0" w:after="0" w:afterAutospacing="0"/>
              <w:ind w:left="0" w:leftChars="0" w:right="0" w:rightChars="0"/>
              <w:jc w:val="center"/>
              <w:rPr>
                <w:rFonts w:hint="default"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4767" w:type="dxa"/>
            <w:noWrap w:val="0"/>
            <w:vAlign w:val="center"/>
          </w:tcPr>
          <w:p w14:paraId="4DEC92A3">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1.整体售后服务方案</w:t>
            </w:r>
          </w:p>
          <w:p w14:paraId="5F7657E1">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根据供应商提供的售后服务方案进行评审，方案内容包含售后服务流程、售后服务范围、维修时间等，分值为2分。</w:t>
            </w:r>
          </w:p>
          <w:p w14:paraId="5A4D78F9">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方案包含上述所有内容，不存在瑕疵的不扣分；方案包含上述所有内容的基础上，内容存在1处瑕疵的扣1分；上述内容不全或内容存在2处及以上瑕疵的或未提供的，不得分。</w:t>
            </w:r>
          </w:p>
          <w:p w14:paraId="74A309D0">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2.维保服务方案</w:t>
            </w:r>
          </w:p>
          <w:p w14:paraId="17A496F4">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供应商提供维保服务方案，方案内容包含日常维修保养、巡查、年度大保养计划等，分值为2分。</w:t>
            </w:r>
          </w:p>
          <w:p w14:paraId="3AB577C8">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方案包含上述所有内容，不存在瑕疵的不扣分；方案包含上述所有内容的基础上，内容存在1处瑕疵的扣1分；上述内容不全或内容存在2处及以上瑕疵的或未提供的，不得分。</w:t>
            </w:r>
          </w:p>
          <w:p w14:paraId="479B5F39">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3.培训方案</w:t>
            </w:r>
          </w:p>
          <w:p w14:paraId="5DD68BCC">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供应商根据项目情况提供培训方案，方案内容包含以下要素：①培训方式、②师资力量投入情况、③培训计划安排及培训效果评价等，分值为2分。</w:t>
            </w:r>
          </w:p>
          <w:p w14:paraId="66AF1BFE">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方案包含上述所有内容，不存在瑕疵的不扣分；方案包含上述所有内容的基础上，内容存在1处瑕疵的扣1分；上述内容不全或内容存在2处及以上瑕疵的或未提供的，不得分。</w:t>
            </w:r>
          </w:p>
          <w:p w14:paraId="5FD64404">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4.配送服务方案</w:t>
            </w:r>
          </w:p>
          <w:p w14:paraId="3E58E388">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供应商根据项目情况提供试剂耗材的物流配送方案，方案内容包含以下要素：①配送的及时性和保障措施（实时监控）、②配送的安全性和系统性（记录、交接和送货、分零）、③冷链物流和相应的配送服务设备或车辆等，分值为2分。</w:t>
            </w:r>
          </w:p>
          <w:p w14:paraId="5A824F14">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方案包含上述所有内容，不存在瑕疵的不扣分；方案包含上述所有内容的基础上，内容存在1处瑕疵的扣1分；上述内容不全或内容存在2处及以上瑕疵的或未提供的，不得分。</w:t>
            </w:r>
          </w:p>
          <w:p w14:paraId="1CA85F28">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5.服务人员配备方案</w:t>
            </w:r>
          </w:p>
          <w:p w14:paraId="12DF4F9E">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供应商具有完善的服务管理方案，方案包含：①服务管理人员架构；②服务管理人员配置资质；③服务管理人员安排计划等，分值为2分。</w:t>
            </w:r>
          </w:p>
          <w:p w14:paraId="3FCE84E7">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方案包含上述所有内容，不存在瑕疵的不扣分；方案包含上述所有内容的基础上，内容存在1处瑕疵的扣1分；上述内容不全或内容存在2处及以上瑕疵的或未提供的，不得分。</w:t>
            </w:r>
          </w:p>
          <w:p w14:paraId="068E1534">
            <w:pPr>
              <w:keepNext w:val="0"/>
              <w:keepLines w:val="0"/>
              <w:suppressLineNumbers w:val="0"/>
              <w:adjustRightInd w:val="0"/>
              <w:snapToGrid w:val="0"/>
              <w:spacing w:before="0" w:beforeAutospacing="0" w:after="0" w:afterAutospacing="0"/>
              <w:ind w:left="0" w:right="0"/>
              <w:jc w:val="left"/>
              <w:rPr>
                <w:rFonts w:hint="default"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6.场地规划设计和运营服务方案</w:t>
            </w:r>
          </w:p>
          <w:p w14:paraId="36E27443">
            <w:pPr>
              <w:keepNext w:val="0"/>
              <w:keepLines w:val="0"/>
              <w:suppressLineNumbers w:val="0"/>
              <w:adjustRightInd w:val="0"/>
              <w:snapToGrid w:val="0"/>
              <w:spacing w:before="0" w:beforeAutospacing="0" w:after="0" w:afterAutospacing="0"/>
              <w:ind w:left="0" w:right="0"/>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供应商具有较强的场地规划设计、装修装饰和服务服务能力，提供相关场地规划设计和运营服务方案，方案包含：①结合本项目场地，提供设计的规划图及布局方案，且规划图及布局方案应合理可行；②提供合理的装修方案，含装修进度、安全保护承诺和措施；③针对本项目提供规范、全面、切实可行、流程完整的运营管理服务方案，分值为2分。</w:t>
            </w:r>
          </w:p>
          <w:p w14:paraId="3352E140">
            <w:pPr>
              <w:keepNext w:val="0"/>
              <w:keepLines w:val="0"/>
              <w:suppressLineNumbers w:val="0"/>
              <w:adjustRightInd w:val="0"/>
              <w:snapToGrid w:val="0"/>
              <w:spacing w:before="0" w:beforeAutospacing="0" w:after="0" w:afterAutospacing="0"/>
              <w:ind w:left="0" w:leftChars="0" w:right="0" w:rightChars="0"/>
              <w:jc w:val="left"/>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方案包含上述所有内容，不存在瑕疵的不扣分；方案包含上述所有内容的基础上，内容存在1处瑕疵的扣1分；上述内容不全或内容存在2处及以上瑕疵的或未提供的，不得分。</w:t>
            </w:r>
          </w:p>
        </w:tc>
        <w:tc>
          <w:tcPr>
            <w:tcW w:w="1953" w:type="dxa"/>
            <w:noWrap w:val="0"/>
            <w:vAlign w:val="center"/>
          </w:tcPr>
          <w:p w14:paraId="641FBFF9">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以下任意一种情形属于1处瑕疵：</w:t>
            </w:r>
          </w:p>
          <w:p w14:paraId="4C900BDD">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①方案内容缺项、内容表述不完整或缺少关键分析点；</w:t>
            </w:r>
          </w:p>
          <w:p w14:paraId="3D088828">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②方案内容表述前后矛盾；</w:t>
            </w:r>
          </w:p>
          <w:p w14:paraId="3E9E663C">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③方案内容无连贯性；</w:t>
            </w:r>
          </w:p>
          <w:p w14:paraId="757D35A0">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④方案内容存在逻辑漏洞；</w:t>
            </w:r>
          </w:p>
          <w:p w14:paraId="4921F797">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⑤常识错误；</w:t>
            </w:r>
          </w:p>
          <w:p w14:paraId="57A26C8E">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⑥服务措施保障安排并不适用本项目特性</w:t>
            </w:r>
          </w:p>
          <w:p w14:paraId="0F509D13">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⑦非专门针对本项目制定；</w:t>
            </w:r>
          </w:p>
          <w:p w14:paraId="2155BEBD">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⑧方案中提出的措施举措不利于本项目目标的实现；</w:t>
            </w:r>
          </w:p>
          <w:p w14:paraId="3FFB9353">
            <w:pPr>
              <w:keepNext w:val="0"/>
              <w:keepLines w:val="0"/>
              <w:suppressLineNumbers w:val="0"/>
              <w:adjustRightInd w:val="0"/>
              <w:snapToGrid w:val="0"/>
              <w:spacing w:before="0" w:beforeAutospacing="0" w:after="0" w:afterAutospacing="0"/>
              <w:ind w:left="0" w:leftChars="0" w:right="0" w:rightChars="0"/>
              <w:jc w:val="left"/>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color w:val="auto"/>
                <w:sz w:val="21"/>
                <w:szCs w:val="21"/>
                <w:highlight w:val="none"/>
              </w:rPr>
              <w:t>⑨现有技术条件下不可能出现的情形。</w:t>
            </w:r>
          </w:p>
        </w:tc>
      </w:tr>
      <w:tr w14:paraId="61522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0" w:hRule="atLeast"/>
        </w:trPr>
        <w:tc>
          <w:tcPr>
            <w:tcW w:w="490" w:type="dxa"/>
            <w:vMerge w:val="restart"/>
            <w:noWrap w:val="0"/>
            <w:vAlign w:val="center"/>
          </w:tcPr>
          <w:p w14:paraId="43438061">
            <w:pPr>
              <w:pageBreakBefore w:val="0"/>
              <w:widowControl w:val="0"/>
              <w:kinsoku/>
              <w:wordWrap/>
              <w:overflowPunct/>
              <w:topLinePunct w:val="0"/>
              <w:autoSpaceDE/>
              <w:autoSpaceDN/>
              <w:bidi w:val="0"/>
              <w:spacing w:line="240" w:lineRule="auto"/>
              <w:jc w:val="center"/>
              <w:textAlignment w:val="auto"/>
              <w:rPr>
                <w:rFonts w:hint="default"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5</w:t>
            </w:r>
          </w:p>
        </w:tc>
        <w:tc>
          <w:tcPr>
            <w:tcW w:w="929" w:type="dxa"/>
            <w:vMerge w:val="restart"/>
            <w:noWrap w:val="0"/>
            <w:vAlign w:val="center"/>
          </w:tcPr>
          <w:p w14:paraId="6D6661C6">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商务部分（8%）</w:t>
            </w:r>
          </w:p>
        </w:tc>
        <w:tc>
          <w:tcPr>
            <w:tcW w:w="735" w:type="dxa"/>
            <w:noWrap w:val="0"/>
            <w:vAlign w:val="center"/>
          </w:tcPr>
          <w:p w14:paraId="02F48890">
            <w:pPr>
              <w:keepNext w:val="0"/>
              <w:keepLines w:val="0"/>
              <w:suppressLineNumbers w:val="0"/>
              <w:adjustRightInd w:val="0"/>
              <w:snapToGrid w:val="0"/>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业绩（5%）</w:t>
            </w:r>
          </w:p>
        </w:tc>
        <w:tc>
          <w:tcPr>
            <w:tcW w:w="750" w:type="dxa"/>
            <w:noWrap w:val="0"/>
            <w:vAlign w:val="center"/>
          </w:tcPr>
          <w:p w14:paraId="4C466114">
            <w:pPr>
              <w:keepNext w:val="0"/>
              <w:keepLines w:val="0"/>
              <w:suppressLineNumbers w:val="0"/>
              <w:adjustRightInd w:val="0"/>
              <w:snapToGrid w:val="0"/>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4767" w:type="dxa"/>
            <w:noWrap w:val="0"/>
            <w:vAlign w:val="center"/>
          </w:tcPr>
          <w:p w14:paraId="4BAF6D7F">
            <w:pPr>
              <w:keepNext w:val="0"/>
              <w:keepLines w:val="0"/>
              <w:suppressLineNumbers w:val="0"/>
              <w:adjustRightInd w:val="0"/>
              <w:snapToGrid w:val="0"/>
              <w:spacing w:before="0" w:beforeAutospacing="0" w:after="0" w:afterAutospacing="0"/>
              <w:ind w:left="0" w:leftChars="0" w:right="0" w:rightChars="0"/>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所投产品2023年1月1日至投标截止时间（以合同签订时间为准）有与本检验相关的同级医疗机构服务案例的，每提供1份业绩得1分，本项最多得5分。未提供或未按要求提供不得分。</w:t>
            </w:r>
          </w:p>
        </w:tc>
        <w:tc>
          <w:tcPr>
            <w:tcW w:w="1953" w:type="dxa"/>
            <w:noWrap w:val="0"/>
            <w:vAlign w:val="center"/>
          </w:tcPr>
          <w:p w14:paraId="032A6E80">
            <w:pPr>
              <w:keepNext w:val="0"/>
              <w:keepLines w:val="0"/>
              <w:suppressLineNumbers w:val="0"/>
              <w:adjustRightInd w:val="0"/>
              <w:snapToGrid w:val="0"/>
              <w:spacing w:before="0" w:beforeAutospacing="0" w:after="0" w:afterAutospacing="0"/>
              <w:ind w:left="0" w:leftChars="0" w:right="0" w:rightChars="0"/>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每份业绩同时提供合同（至少包含货物信息、签署页、签订日期）、发票、验收合格报告扫描件为符合要求。同一个业绩的合同、发票、验收合格报告的用户单位必须一致，否则视为无效业绩。</w:t>
            </w:r>
          </w:p>
        </w:tc>
      </w:tr>
      <w:tr w14:paraId="306FF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490" w:type="dxa"/>
            <w:vMerge w:val="continue"/>
            <w:noWrap w:val="0"/>
            <w:vAlign w:val="center"/>
          </w:tcPr>
          <w:p w14:paraId="7D7031F8">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kern w:val="0"/>
                <w:sz w:val="21"/>
                <w:szCs w:val="21"/>
                <w:highlight w:val="none"/>
                <w:lang w:val="en-US" w:eastAsia="zh-CN"/>
              </w:rPr>
            </w:pPr>
          </w:p>
        </w:tc>
        <w:tc>
          <w:tcPr>
            <w:tcW w:w="929" w:type="dxa"/>
            <w:vMerge w:val="continue"/>
            <w:noWrap w:val="0"/>
            <w:vAlign w:val="center"/>
          </w:tcPr>
          <w:p w14:paraId="0B2A8613">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kern w:val="0"/>
                <w:sz w:val="21"/>
                <w:szCs w:val="21"/>
                <w:highlight w:val="none"/>
                <w:lang w:val="en-US" w:eastAsia="zh-CN"/>
              </w:rPr>
            </w:pPr>
          </w:p>
        </w:tc>
        <w:tc>
          <w:tcPr>
            <w:tcW w:w="735" w:type="dxa"/>
            <w:noWrap w:val="0"/>
            <w:vAlign w:val="center"/>
          </w:tcPr>
          <w:p w14:paraId="6F783114">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室间</w:t>
            </w:r>
            <w:r>
              <w:rPr>
                <w:rFonts w:hint="default" w:ascii="仿宋" w:hAnsi="仿宋" w:eastAsia="仿宋" w:cs="仿宋"/>
                <w:color w:val="auto"/>
                <w:sz w:val="21"/>
                <w:szCs w:val="21"/>
                <w:highlight w:val="none"/>
                <w:lang w:val="en-US" w:eastAsia="zh-CN"/>
              </w:rPr>
              <w:t>质评</w:t>
            </w:r>
            <w:r>
              <w:rPr>
                <w:rFonts w:hint="eastAsia" w:ascii="仿宋" w:hAnsi="仿宋" w:eastAsia="仿宋" w:cs="仿宋"/>
                <w:color w:val="auto"/>
                <w:sz w:val="21"/>
                <w:szCs w:val="21"/>
                <w:highlight w:val="none"/>
                <w:lang w:val="en-US" w:eastAsia="zh-CN"/>
              </w:rPr>
              <w:t>（3%）</w:t>
            </w:r>
          </w:p>
        </w:tc>
        <w:tc>
          <w:tcPr>
            <w:tcW w:w="750" w:type="dxa"/>
            <w:noWrap w:val="0"/>
            <w:vAlign w:val="center"/>
          </w:tcPr>
          <w:p w14:paraId="63A9ED5D">
            <w:pPr>
              <w:pageBreakBefore w:val="0"/>
              <w:widowControl w:val="0"/>
              <w:kinsoku/>
              <w:wordWrap/>
              <w:overflowPunct/>
              <w:topLinePunct w:val="0"/>
              <w:autoSpaceDE/>
              <w:autoSpaceDN/>
              <w:bidi w:val="0"/>
              <w:spacing w:line="240" w:lineRule="auto"/>
              <w:jc w:val="center"/>
              <w:textAlignment w:val="auto"/>
              <w:rPr>
                <w:rFonts w:hint="default"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3</w:t>
            </w:r>
          </w:p>
        </w:tc>
        <w:tc>
          <w:tcPr>
            <w:tcW w:w="4767" w:type="dxa"/>
            <w:noWrap w:val="0"/>
            <w:vAlign w:val="center"/>
          </w:tcPr>
          <w:p w14:paraId="6E678E9D">
            <w:pPr>
              <w:keepNext w:val="0"/>
              <w:keepLines w:val="0"/>
              <w:suppressLineNumbers w:val="0"/>
              <w:adjustRightInd w:val="0"/>
              <w:snapToGrid w:val="0"/>
              <w:spacing w:before="0" w:beforeAutospacing="0" w:after="0" w:afterAutospacing="0"/>
              <w:ind w:left="0" w:leftChars="0" w:right="0" w:rightChars="0"/>
              <w:jc w:val="left"/>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所投设备，在国家卫健委临检中心或重庆市临检中心具有独立的分组（提供室间质评成绩），每提供一份得1分，最多得3分。</w:t>
            </w:r>
          </w:p>
        </w:tc>
        <w:tc>
          <w:tcPr>
            <w:tcW w:w="1953" w:type="dxa"/>
            <w:noWrap w:val="0"/>
            <w:vAlign w:val="center"/>
          </w:tcPr>
          <w:p w14:paraId="0306FE0F">
            <w:pPr>
              <w:keepNext w:val="0"/>
              <w:keepLines w:val="0"/>
              <w:suppressLineNumbers w:val="0"/>
              <w:adjustRightInd w:val="0"/>
              <w:snapToGrid w:val="0"/>
              <w:spacing w:before="0" w:beforeAutospacing="0" w:after="0" w:afterAutospacing="0"/>
              <w:ind w:left="0" w:leftChars="0" w:right="0" w:rightChars="0"/>
              <w:jc w:val="left"/>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提供提供室间质评成绩。</w:t>
            </w:r>
          </w:p>
        </w:tc>
      </w:tr>
    </w:tbl>
    <w:p w14:paraId="3406B4F1">
      <w:pPr>
        <w:pStyle w:val="3"/>
        <w:adjustRightInd w:val="0"/>
        <w:snapToGrid w:val="0"/>
        <w:spacing w:before="0" w:after="0"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说明：（一）评标委员会认为</w:t>
      </w:r>
      <w:r>
        <w:rPr>
          <w:rFonts w:hint="eastAsia"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的报价明显低于其他通过符合性审查</w:t>
      </w:r>
      <w:r>
        <w:rPr>
          <w:rFonts w:hint="eastAsia"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的报价，有可能影响产品质量或者不能诚信履约的，供应商需在30分钟内对响应价格作出解释，提供项目具体成本测算等与报价合理性相关的书面说明及必要的证明材料，包括但不限于原材料成本、人工成本、制造费用等。供应商不能证明其报价合理性的，评标委员会应当将其作为无效投标处理。</w:t>
      </w:r>
    </w:p>
    <w:p w14:paraId="713DC2E5">
      <w:pPr>
        <w:pStyle w:val="26"/>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三、无效报价</w:t>
      </w:r>
    </w:p>
    <w:p w14:paraId="60C0B121">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供应商发生以下条款情况之一者，视为无效响应，其响应文件将被拒绝：</w:t>
      </w:r>
    </w:p>
    <w:p w14:paraId="56A84E7F">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（一）供应商不符合规定的资格条件的；</w:t>
      </w:r>
    </w:p>
    <w:p w14:paraId="54A5D274">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（二）供应商未通过实质性响应审查的；</w:t>
      </w:r>
    </w:p>
    <w:p w14:paraId="40242352">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（三）供应商所提交的响应文件不按“第七篇响应文件编制要求”要求签署或盖章；</w:t>
      </w:r>
    </w:p>
    <w:p w14:paraId="670EBFF4">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（四）供应商的最后报价超过采购预算或最高限价的；</w:t>
      </w:r>
    </w:p>
    <w:p w14:paraId="25E96D83">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（五）法定代表人为同一个人的两个及两个以上法人，母公司、全资子公司及其控股公司，在同一包采购中同时参与</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w:t>
      </w:r>
    </w:p>
    <w:p w14:paraId="4F49C9AA">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（六）单位负责人为同一人或者存在直接控股、管理关系的不同供应商，参加同一合同项下的政府采购活动的；</w:t>
      </w:r>
    </w:p>
    <w:p w14:paraId="40E462EB">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（七）为采购项目提供整体设计、规范编制或者项目管理、监理、检测等服务的供应商，再参加该采购项目的其他采购活动；</w:t>
      </w:r>
    </w:p>
    <w:p w14:paraId="6CDD4292">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（八）供应商</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有效期不满足</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文件要求的；</w:t>
      </w:r>
    </w:p>
    <w:p w14:paraId="35040B7B">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（九）供应商响应文件内容有与国家现行法律法规相违背的内容，或附有采购人无法接受的条件；</w:t>
      </w:r>
    </w:p>
    <w:p w14:paraId="43FC9C58">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（十）法律、法规和</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文件规定的其他无效情形。</w:t>
      </w:r>
    </w:p>
    <w:p w14:paraId="1A91517B">
      <w:pPr>
        <w:pStyle w:val="26"/>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四、采购终止</w:t>
      </w:r>
    </w:p>
    <w:p w14:paraId="00CCD5DF">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出现下列情形之一的，采购人应当终止</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采购活动，发布项目终止公告并说明原因，重新开展采购活动：</w:t>
      </w:r>
    </w:p>
    <w:p w14:paraId="34F7F13E">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（一）因情况变化，不再符合规定的</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采购方式适用情形的；</w:t>
      </w:r>
    </w:p>
    <w:p w14:paraId="78DA29BB">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（二）出现影响采购公正的违法、违规行为的；</w:t>
      </w:r>
    </w:p>
    <w:p w14:paraId="2333F165">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（三）在采购过程中符合要求的供应商或者报价未超过采购预算的供应商不足3家的。</w:t>
      </w:r>
    </w:p>
    <w:p w14:paraId="0E6A61A7">
      <w:pPr>
        <w:pStyle w:val="25"/>
        <w:bidi w:val="0"/>
        <w:rPr>
          <w:rFonts w:hint="default" w:ascii="Times New Roman" w:hAnsi="Times New Roman" w:cs="Times New Roman"/>
          <w:color w:val="auto"/>
          <w:highlight w:val="none"/>
        </w:rPr>
        <w:sectPr>
          <w:pgSz w:w="11907" w:h="16840"/>
          <w:pgMar w:top="1134" w:right="1191" w:bottom="1134" w:left="1304" w:header="964" w:footer="992" w:gutter="0"/>
          <w:pgNumType w:fmt="decimal"/>
          <w:cols w:space="720" w:num="1"/>
          <w:docGrid w:linePitch="312" w:charSpace="0"/>
        </w:sectPr>
      </w:pPr>
    </w:p>
    <w:p w14:paraId="5DFA700F">
      <w:pPr>
        <w:pStyle w:val="27"/>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第五篇 供应商须知</w:t>
      </w:r>
    </w:p>
    <w:p w14:paraId="3937C254">
      <w:pPr>
        <w:pStyle w:val="26"/>
        <w:bidi w:val="0"/>
        <w:rPr>
          <w:rFonts w:hint="default"/>
          <w:color w:val="auto"/>
          <w:highlight w:val="none"/>
          <w:lang w:val="en-US" w:eastAsia="zh-CN"/>
        </w:rPr>
      </w:pPr>
      <w:r>
        <w:rPr>
          <w:rFonts w:hint="eastAsia"/>
          <w:color w:val="auto"/>
          <w:highlight w:val="none"/>
          <w:lang w:val="en-US" w:eastAsia="zh-CN"/>
        </w:rPr>
        <w:t>一、供应商</w:t>
      </w:r>
    </w:p>
    <w:p w14:paraId="03182272">
      <w:pPr>
        <w:keepLines w:val="0"/>
        <w:pageBreakBefore w:val="0"/>
        <w:widowControl w:val="0"/>
        <w:kinsoku/>
        <w:wordWrap/>
        <w:overflowPunct/>
        <w:topLinePunct w:val="0"/>
        <w:autoSpaceDE/>
        <w:autoSpaceDN/>
        <w:bidi w:val="0"/>
        <w:adjustRightInd/>
        <w:spacing w:line="480" w:lineRule="exact"/>
        <w:ind w:firstLine="480" w:firstLineChars="20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w:t>
      </w:r>
      <w:r>
        <w:rPr>
          <w:rFonts w:hint="default" w:ascii="Times New Roman" w:hAnsi="Times New Roman" w:eastAsia="方正仿宋_GBK" w:cs="Times New Roman"/>
          <w:color w:val="auto"/>
          <w:sz w:val="24"/>
          <w:szCs w:val="24"/>
          <w:highlight w:val="none"/>
          <w:lang w:eastAsia="zh-CN"/>
        </w:rPr>
        <w:t>供应商</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是指响应</w:t>
      </w:r>
      <w:r>
        <w:rPr>
          <w:rFonts w:hint="default" w:ascii="Times New Roman" w:hAnsi="Times New Roman" w:eastAsia="方正仿宋_GBK" w:cs="Times New Roman"/>
          <w:color w:val="auto"/>
          <w:sz w:val="24"/>
          <w:szCs w:val="24"/>
          <w:highlight w:val="none"/>
          <w:lang w:eastAsia="zh-CN"/>
        </w:rPr>
        <w:t>采购</w:t>
      </w:r>
      <w:r>
        <w:rPr>
          <w:rFonts w:hint="default" w:ascii="Times New Roman" w:hAnsi="Times New Roman" w:eastAsia="方正仿宋_GBK" w:cs="Times New Roman"/>
          <w:color w:val="auto"/>
          <w:sz w:val="24"/>
          <w:szCs w:val="24"/>
          <w:highlight w:val="none"/>
        </w:rPr>
        <w:t>、参加投标竞争的法人、其他组织或者自然人。</w:t>
      </w:r>
    </w:p>
    <w:p w14:paraId="237E5CE9">
      <w:pPr>
        <w:spacing w:line="480" w:lineRule="exact"/>
        <w:ind w:firstLine="480" w:firstLineChars="200"/>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（二）合格</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条件</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完全符合</w:t>
      </w:r>
      <w:r>
        <w:rPr>
          <w:rFonts w:hint="default" w:ascii="Times New Roman" w:hAnsi="Times New Roman" w:eastAsia="方正仿宋_GBK" w:cs="Times New Roman"/>
          <w:color w:val="auto"/>
          <w:sz w:val="24"/>
          <w:szCs w:val="24"/>
          <w:highlight w:val="none"/>
          <w:lang w:eastAsia="zh-CN"/>
        </w:rPr>
        <w:t>采购文件</w:t>
      </w:r>
      <w:r>
        <w:rPr>
          <w:rFonts w:hint="default" w:ascii="Times New Roman" w:hAnsi="Times New Roman" w:eastAsia="方正仿宋_GBK" w:cs="Times New Roman"/>
          <w:color w:val="auto"/>
          <w:sz w:val="24"/>
          <w:szCs w:val="24"/>
          <w:highlight w:val="none"/>
        </w:rPr>
        <w:t>第一篇中规定的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资格条件，并对</w:t>
      </w:r>
      <w:r>
        <w:rPr>
          <w:rFonts w:hint="default" w:ascii="Times New Roman" w:hAnsi="Times New Roman" w:eastAsia="方正仿宋_GBK" w:cs="Times New Roman"/>
          <w:color w:val="auto"/>
          <w:sz w:val="24"/>
          <w:szCs w:val="24"/>
          <w:highlight w:val="none"/>
          <w:lang w:eastAsia="zh-CN"/>
        </w:rPr>
        <w:t>采购</w:t>
      </w:r>
      <w:r>
        <w:rPr>
          <w:rFonts w:hint="default" w:ascii="Times New Roman" w:hAnsi="Times New Roman" w:eastAsia="方正仿宋_GBK" w:cs="Times New Roman"/>
          <w:color w:val="auto"/>
          <w:sz w:val="24"/>
          <w:szCs w:val="24"/>
          <w:highlight w:val="none"/>
        </w:rPr>
        <w:t>文件作出实质性响应。</w:t>
      </w:r>
    </w:p>
    <w:p w14:paraId="32BDF194">
      <w:pPr>
        <w:spacing w:line="480" w:lineRule="exact"/>
        <w:ind w:firstLine="480" w:firstLineChars="200"/>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的风险</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没有按照</w:t>
      </w:r>
      <w:r>
        <w:rPr>
          <w:rFonts w:hint="default" w:ascii="Times New Roman" w:hAnsi="Times New Roman" w:eastAsia="方正仿宋_GBK" w:cs="Times New Roman"/>
          <w:color w:val="auto"/>
          <w:sz w:val="24"/>
          <w:szCs w:val="24"/>
          <w:highlight w:val="none"/>
          <w:lang w:eastAsia="zh-CN"/>
        </w:rPr>
        <w:t>采购</w:t>
      </w:r>
      <w:r>
        <w:rPr>
          <w:rFonts w:hint="default" w:ascii="Times New Roman" w:hAnsi="Times New Roman" w:eastAsia="方正仿宋_GBK" w:cs="Times New Roman"/>
          <w:color w:val="auto"/>
          <w:sz w:val="24"/>
          <w:szCs w:val="24"/>
          <w:highlight w:val="none"/>
        </w:rPr>
        <w:t>文件要求提供全部资料或者</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没有对</w:t>
      </w:r>
      <w:r>
        <w:rPr>
          <w:rFonts w:hint="default" w:ascii="Times New Roman" w:hAnsi="Times New Roman" w:eastAsia="方正仿宋_GBK" w:cs="Times New Roman"/>
          <w:color w:val="auto"/>
          <w:sz w:val="24"/>
          <w:szCs w:val="24"/>
          <w:highlight w:val="none"/>
          <w:lang w:eastAsia="zh-CN"/>
        </w:rPr>
        <w:t>采购</w:t>
      </w:r>
      <w:r>
        <w:rPr>
          <w:rFonts w:hint="default" w:ascii="Times New Roman" w:hAnsi="Times New Roman" w:eastAsia="方正仿宋_GBK" w:cs="Times New Roman"/>
          <w:color w:val="auto"/>
          <w:sz w:val="24"/>
          <w:szCs w:val="24"/>
          <w:highlight w:val="none"/>
        </w:rPr>
        <w:t>文件在各方面作出实质性响应，可能导致</w:t>
      </w:r>
      <w:r>
        <w:rPr>
          <w:rFonts w:hint="default" w:ascii="Times New Roman" w:hAnsi="Times New Roman" w:eastAsia="方正仿宋_GBK" w:cs="Times New Roman"/>
          <w:color w:val="auto"/>
          <w:sz w:val="24"/>
          <w:szCs w:val="24"/>
          <w:highlight w:val="none"/>
          <w:lang w:eastAsia="zh-CN"/>
        </w:rPr>
        <w:t>响应</w:t>
      </w:r>
      <w:r>
        <w:rPr>
          <w:rFonts w:hint="default" w:ascii="Times New Roman" w:hAnsi="Times New Roman" w:eastAsia="方正仿宋_GBK" w:cs="Times New Roman"/>
          <w:color w:val="auto"/>
          <w:sz w:val="24"/>
          <w:szCs w:val="24"/>
          <w:highlight w:val="none"/>
        </w:rPr>
        <w:t>被拒绝或评定为无效</w:t>
      </w:r>
      <w:r>
        <w:rPr>
          <w:rFonts w:hint="default" w:ascii="Times New Roman" w:hAnsi="Times New Roman" w:eastAsia="方正仿宋_GBK" w:cs="Times New Roman"/>
          <w:color w:val="auto"/>
          <w:sz w:val="24"/>
          <w:szCs w:val="24"/>
          <w:highlight w:val="none"/>
          <w:lang w:eastAsia="zh-CN"/>
        </w:rPr>
        <w:t>响应</w:t>
      </w:r>
      <w:r>
        <w:rPr>
          <w:rFonts w:hint="default" w:ascii="Times New Roman" w:hAnsi="Times New Roman" w:eastAsia="方正仿宋_GBK" w:cs="Times New Roman"/>
          <w:color w:val="auto"/>
          <w:sz w:val="24"/>
          <w:szCs w:val="24"/>
          <w:highlight w:val="none"/>
        </w:rPr>
        <w:t>。</w:t>
      </w:r>
    </w:p>
    <w:p w14:paraId="58ACE540">
      <w:pPr>
        <w:spacing w:line="480" w:lineRule="exact"/>
        <w:ind w:firstLine="480" w:firstLineChars="200"/>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（四）法律责任</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违反《中华人民共和国政府采购法》《中华人民共和国政府采购实施条例》等相关规定，将按规定追究</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法律责任。</w:t>
      </w:r>
    </w:p>
    <w:p w14:paraId="048F5B58">
      <w:pPr>
        <w:spacing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eastAsia="zh-CN"/>
        </w:rPr>
        <w:t>（</w:t>
      </w:r>
      <w:r>
        <w:rPr>
          <w:rFonts w:hint="eastAsia" w:eastAsia="方正仿宋_GBK" w:cs="Times New Roman"/>
          <w:color w:val="auto"/>
          <w:sz w:val="24"/>
          <w:szCs w:val="24"/>
          <w:highlight w:val="none"/>
          <w:lang w:val="en-US" w:eastAsia="zh-CN"/>
        </w:rPr>
        <w:t>五）比选费用：</w:t>
      </w:r>
      <w:r>
        <w:rPr>
          <w:rFonts w:hint="default" w:ascii="Times New Roman" w:hAnsi="Times New Roman" w:eastAsia="方正仿宋_GBK" w:cs="Times New Roman"/>
          <w:color w:val="auto"/>
          <w:sz w:val="24"/>
          <w:szCs w:val="24"/>
          <w:highlight w:val="none"/>
        </w:rPr>
        <w:t>参与</w:t>
      </w:r>
      <w:r>
        <w:rPr>
          <w:rFonts w:hint="default" w:ascii="Times New Roman" w:hAnsi="Times New Roman" w:eastAsia="方正仿宋_GBK" w:cs="Times New Roman"/>
          <w:color w:val="auto"/>
          <w:sz w:val="24"/>
          <w:szCs w:val="24"/>
          <w:highlight w:val="none"/>
          <w:lang w:eastAsia="zh-CN"/>
        </w:rPr>
        <w:t>比选</w:t>
      </w:r>
      <w:r>
        <w:rPr>
          <w:rFonts w:hint="default" w:ascii="Times New Roman" w:hAnsi="Times New Roman" w:eastAsia="方正仿宋_GBK" w:cs="Times New Roman"/>
          <w:color w:val="auto"/>
          <w:sz w:val="24"/>
          <w:szCs w:val="24"/>
          <w:highlight w:val="none"/>
        </w:rPr>
        <w:t>的供应商应承担其编制响应文件与递交响应文件所涉及的一切费用，不论</w:t>
      </w:r>
      <w:r>
        <w:rPr>
          <w:rFonts w:hint="default" w:ascii="Times New Roman" w:hAnsi="Times New Roman" w:eastAsia="方正仿宋_GBK" w:cs="Times New Roman"/>
          <w:color w:val="auto"/>
          <w:sz w:val="24"/>
          <w:szCs w:val="24"/>
          <w:highlight w:val="none"/>
          <w:lang w:eastAsia="zh-CN"/>
        </w:rPr>
        <w:t>比选</w:t>
      </w:r>
      <w:r>
        <w:rPr>
          <w:rFonts w:hint="default" w:ascii="Times New Roman" w:hAnsi="Times New Roman" w:eastAsia="方正仿宋_GBK" w:cs="Times New Roman"/>
          <w:color w:val="auto"/>
          <w:sz w:val="24"/>
          <w:szCs w:val="24"/>
          <w:highlight w:val="none"/>
        </w:rPr>
        <w:t>结果如何，采购人在任何情况下无义务也无责任承担这些费用。</w:t>
      </w:r>
    </w:p>
    <w:p w14:paraId="159530A7">
      <w:pPr>
        <w:pStyle w:val="26"/>
        <w:bidi w:val="0"/>
        <w:rPr>
          <w:rFonts w:hint="default" w:ascii="Times New Roman" w:hAnsi="Times New Roman" w:cs="Times New Roman"/>
          <w:color w:val="auto"/>
          <w:highlight w:val="none"/>
        </w:rPr>
      </w:pPr>
      <w:bookmarkStart w:id="28" w:name="_Toc342913391"/>
      <w:bookmarkStart w:id="29" w:name="_Toc76462339"/>
      <w:bookmarkStart w:id="30" w:name="_Toc106030894"/>
      <w:r>
        <w:rPr>
          <w:rFonts w:hint="default" w:ascii="Times New Roman" w:hAnsi="Times New Roman" w:cs="Times New Roman"/>
          <w:color w:val="auto"/>
          <w:highlight w:val="none"/>
        </w:rPr>
        <w:t>二、</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w:t>
      </w:r>
      <w:bookmarkEnd w:id="28"/>
      <w:bookmarkEnd w:id="29"/>
      <w:bookmarkEnd w:id="30"/>
    </w:p>
    <w:p w14:paraId="33F5BFE8">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lang w:val="en-US" w:eastAsia="zh-CN"/>
        </w:rPr>
        <w:t>文件是供应商编制响应文件的依据，是</w:t>
      </w:r>
      <w:r>
        <w:rPr>
          <w:rFonts w:hint="eastAsia" w:ascii="Times New Roman" w:hAnsi="Times New Roman" w:cs="Times New Roman"/>
          <w:color w:val="auto"/>
          <w:highlight w:val="none"/>
          <w:lang w:val="en-US" w:eastAsia="zh-CN"/>
        </w:rPr>
        <w:t>比选</w:t>
      </w:r>
      <w:r>
        <w:rPr>
          <w:rFonts w:hint="default" w:ascii="Times New Roman" w:hAnsi="Times New Roman" w:cs="Times New Roman"/>
          <w:color w:val="auto"/>
          <w:highlight w:val="none"/>
          <w:lang w:val="en-US" w:eastAsia="zh-CN"/>
        </w:rPr>
        <w:t>小组评判依据和标准。</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lang w:val="en-US" w:eastAsia="zh-CN"/>
        </w:rPr>
        <w:t>文件也是采购人与中标人签订合同的基础。</w:t>
      </w:r>
    </w:p>
    <w:p w14:paraId="30348A64">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lang w:val="en-US" w:eastAsia="zh-CN"/>
        </w:rPr>
        <w:t>文件由采购邀请书、项目技术、服务需求、项目商务需求、</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程序及方法、评审标准、无效响应和采购终止、供应商须知、采购合同、响应文件编制要求七部分组成。</w:t>
      </w:r>
    </w:p>
    <w:p w14:paraId="677CCBD1">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采购人所作的一切有效的书面通知、修改及补充，都是</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文件不可分割的部分。</w:t>
      </w:r>
    </w:p>
    <w:p w14:paraId="6BC4AABC">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（三）</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文件的解释</w:t>
      </w:r>
    </w:p>
    <w:p w14:paraId="17193B7F">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供应商如对</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文件有疑问，必须以书面形式在提交响应文件截止时间3个工作日前向采购人要求澄清，采购人可视具体情况做出处理或答复。如供应商未提出疑问，视为完全理解并同意本</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文件。一经进入</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程序，即视为供应商已详细阅读全部文件资料，完全理解</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文件所有条款内容并同意放弃对这方面有不明白及误解的权利。</w:t>
      </w:r>
      <w:bookmarkStart w:id="31" w:name="_Toc318159160"/>
      <w:bookmarkStart w:id="32" w:name="_Toc318159780"/>
      <w:bookmarkStart w:id="33" w:name="_Toc318166429"/>
      <w:bookmarkStart w:id="34" w:name="_Toc318159349"/>
    </w:p>
    <w:p w14:paraId="58A8A9DB">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）评审的依据为</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文件和响应文件（含有效的书面承诺）。</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小组判断响应文件对</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文件的响应，仅基于响应文件本身而不靠外部证据。</w:t>
      </w:r>
    </w:p>
    <w:bookmarkEnd w:id="31"/>
    <w:bookmarkEnd w:id="32"/>
    <w:bookmarkEnd w:id="33"/>
    <w:bookmarkEnd w:id="34"/>
    <w:p w14:paraId="2F87C68E">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本项目的</w:t>
      </w:r>
      <w:r>
        <w:rPr>
          <w:rFonts w:hint="eastAsia" w:ascii="Times New Roman" w:hAnsi="Times New Roman" w:cs="Times New Roman"/>
          <w:color w:val="auto"/>
          <w:highlight w:val="none"/>
          <w:lang w:val="en-US" w:eastAsia="zh-CN"/>
        </w:rPr>
        <w:t>公告</w:t>
      </w:r>
      <w:r>
        <w:rPr>
          <w:rFonts w:hint="default" w:ascii="Times New Roman" w:hAnsi="Times New Roman" w:cs="Times New Roman"/>
          <w:color w:val="auto"/>
          <w:highlight w:val="none"/>
          <w:lang w:val="en-US" w:eastAsia="zh-CN"/>
        </w:rPr>
        <w:t>文件、补遗文件（如果有）一律在</w:t>
      </w:r>
      <w:r>
        <w:rPr>
          <w:rFonts w:hint="default" w:ascii="Times New Roman" w:hAnsi="Times New Roman" w:cs="Times New Roman"/>
          <w:color w:val="auto"/>
          <w:highlight w:val="none"/>
          <w:u w:val="single"/>
          <w:lang w:val="en-US" w:eastAsia="zh-CN"/>
        </w:rPr>
        <w:t>重庆市红十字会医院（江北区人民医院）官网</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https://www.cqshszhyy.cn/</w:t>
      </w:r>
      <w:r>
        <w:rPr>
          <w:rFonts w:hint="default" w:ascii="Times New Roman" w:hAnsi="Times New Roman" w:cs="Times New Roman"/>
          <w:color w:val="auto"/>
          <w:highlight w:val="none"/>
          <w:lang w:val="en-US" w:eastAsia="zh-CN"/>
        </w:rPr>
        <w:t>发布，请各供应商注意下载；无论供应商下载与否，均视同供应商已知晓本项目</w:t>
      </w:r>
      <w:r>
        <w:rPr>
          <w:rFonts w:hint="eastAsia" w:ascii="Times New Roman" w:hAnsi="Times New Roman" w:cs="Times New Roman"/>
          <w:color w:val="auto"/>
          <w:highlight w:val="none"/>
          <w:lang w:val="en-US" w:eastAsia="zh-CN"/>
        </w:rPr>
        <w:t>公告</w:t>
      </w:r>
      <w:r>
        <w:rPr>
          <w:rFonts w:hint="default" w:ascii="Times New Roman" w:hAnsi="Times New Roman" w:cs="Times New Roman"/>
          <w:color w:val="auto"/>
          <w:highlight w:val="none"/>
          <w:lang w:val="en-US" w:eastAsia="zh-CN"/>
        </w:rPr>
        <w:t>文件、补遗文件的内容。</w:t>
      </w:r>
    </w:p>
    <w:p w14:paraId="3949011C">
      <w:pPr>
        <w:pStyle w:val="26"/>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要求</w:t>
      </w:r>
    </w:p>
    <w:p w14:paraId="0D2DD4B4">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（一）响应文件</w:t>
      </w:r>
    </w:p>
    <w:p w14:paraId="22C402AA">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1.供应商应当按照</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文件的要求编制响应文件，并对</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文件提出的要求和条件作出实质性响应，响应文件原则上采用软面订本，同时应编制完整的页码、目录。</w:t>
      </w:r>
    </w:p>
    <w:p w14:paraId="29710CD6">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2.响应文件组成</w:t>
      </w:r>
    </w:p>
    <w:p w14:paraId="4CF62092">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7E77F78">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有效期：响应文件及有关承诺文件有效期为提交响应文件截止时间起90天。</w:t>
      </w:r>
    </w:p>
    <w:p w14:paraId="26F3B2F6">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）修正错误</w:t>
      </w:r>
    </w:p>
    <w:p w14:paraId="420D8AED">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响应文件中报价一览表（报价表）内容与响应文件中相应内容不一致的，以报价一览表（报价表）为准；</w:t>
      </w:r>
    </w:p>
    <w:p w14:paraId="345314D5">
      <w:pPr>
        <w:pStyle w:val="25"/>
        <w:bidi w:val="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若供应商所递交的响应文件或最后报价中的价格出现大写金额和小写金额不一致的错误，以大写金额修正为准。</w:t>
      </w:r>
    </w:p>
    <w:p w14:paraId="66107E06">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3.单价金额小数点或者百分比有明显错位的，以报价一览表的总价为准，并修改单价；</w:t>
      </w:r>
    </w:p>
    <w:p w14:paraId="15DE6DE6">
      <w:pPr>
        <w:pStyle w:val="25"/>
        <w:bidi w:val="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094319FF">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）提交响应文件的份数和签署</w:t>
      </w:r>
    </w:p>
    <w:p w14:paraId="75F98F09">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1.响应文件一式</w:t>
      </w:r>
      <w:r>
        <w:rPr>
          <w:rFonts w:hint="default" w:ascii="Times New Roman" w:hAnsi="Times New Roman" w:cs="Times New Roman"/>
          <w:color w:val="auto"/>
          <w:highlight w:val="none"/>
          <w:lang w:val="en-US" w:eastAsia="zh-CN"/>
        </w:rPr>
        <w:t>两</w:t>
      </w:r>
      <w:r>
        <w:rPr>
          <w:rFonts w:hint="default" w:ascii="Times New Roman" w:hAnsi="Times New Roman" w:cs="Times New Roman"/>
          <w:color w:val="auto"/>
          <w:highlight w:val="none"/>
        </w:rPr>
        <w:t>份，其中正本一份，副本</w:t>
      </w: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份</w:t>
      </w:r>
      <w:r>
        <w:rPr>
          <w:rFonts w:hint="default" w:ascii="Times New Roman" w:hAnsi="Times New Roman" w:cs="Times New Roman"/>
          <w:color w:val="auto"/>
          <w:highlight w:val="none"/>
          <w:lang w:eastAsia="zh-CN"/>
        </w:rPr>
        <w:t>，每套纸质响应文件须在封面清楚地标明“</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正本</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副本</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；副本可为正本的复印件，应与正本一致，如出现不一致情况以正本为准。</w:t>
      </w:r>
    </w:p>
    <w:p w14:paraId="08E88147">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2.响应文件按</w:t>
      </w:r>
      <w:r>
        <w:rPr>
          <w:rFonts w:hint="default" w:ascii="Times New Roman" w:hAnsi="Times New Roman" w:cs="Times New Roman"/>
          <w:color w:val="auto"/>
          <w:highlight w:val="none"/>
          <w:lang w:eastAsia="zh-CN"/>
        </w:rPr>
        <w:t>公开比选</w:t>
      </w:r>
      <w:r>
        <w:rPr>
          <w:rFonts w:hint="default" w:ascii="Times New Roman" w:hAnsi="Times New Roman" w:cs="Times New Roman"/>
          <w:color w:val="auto"/>
          <w:highlight w:val="none"/>
        </w:rPr>
        <w:t>文件</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第七篇响应文件编制要求</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要求签署或盖章</w:t>
      </w:r>
    </w:p>
    <w:p w14:paraId="74102ACF">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3.若供应商对响应文件的错处作必要修改，则应在修改处加盖供应商公章或由法定代表人或法定代表人授权代表签字确认。</w:t>
      </w:r>
    </w:p>
    <w:p w14:paraId="433DA093">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4.电报、电话、传真形式的响应文件概不接受。</w:t>
      </w:r>
    </w:p>
    <w:p w14:paraId="48349D3F">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lang w:val="en-US" w:eastAsia="zh-CN"/>
        </w:rPr>
        <w:t>）响应报价</w:t>
      </w:r>
    </w:p>
    <w:p w14:paraId="4748CACC">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1.供应商应严格按照</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响应文件格式要求</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中</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报价一览表</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的格式填写报价。</w:t>
      </w:r>
    </w:p>
    <w:p w14:paraId="3FCD4149">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2.供应商的报价在响应有效期内固定不变。</w:t>
      </w:r>
    </w:p>
    <w:p w14:paraId="79BBF7CB">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3.本项目每个分包只接受一个报价，有选择的或有条件的报价将不予接受。</w:t>
      </w:r>
    </w:p>
    <w:p w14:paraId="1ACB1256">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（六）响应文件的递交</w:t>
      </w:r>
    </w:p>
    <w:p w14:paraId="6BFB8AC3">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1.响应文件的密封与标记</w:t>
      </w:r>
    </w:p>
    <w:p w14:paraId="46F2E3FB">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响应文件的正本、副本均应密封送达</w:t>
      </w:r>
      <w:r>
        <w:rPr>
          <w:rFonts w:hint="eastAsia" w:ascii="Times New Roman" w:hAnsi="Times New Roman" w:cs="Times New Roman"/>
          <w:color w:val="auto"/>
          <w:highlight w:val="none"/>
          <w:lang w:val="en-US" w:eastAsia="zh-CN"/>
        </w:rPr>
        <w:t>比选</w:t>
      </w:r>
      <w:r>
        <w:rPr>
          <w:rFonts w:hint="default" w:ascii="Times New Roman" w:hAnsi="Times New Roman" w:cs="Times New Roman"/>
          <w:color w:val="auto"/>
          <w:highlight w:val="none"/>
          <w:lang w:val="en-US" w:eastAsia="zh-CN"/>
        </w:rPr>
        <w:t>地点，应在封套上注明项目名称、项目编号、分包号、供应商名称。若正本、副本分别进行密封的，还应在封套上注明</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正本</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副本</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字样。</w:t>
      </w:r>
    </w:p>
    <w:p w14:paraId="519B7227">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如果未按上述规定进行密封和标记，采购人对响应文件误投、丢失或提前拆封不负责任。</w:t>
      </w:r>
    </w:p>
    <w:p w14:paraId="508FB0AC">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ascii="Times New Roman" w:hAnsi="Times New Roman" w:eastAsia="方正仿宋_GBK" w:cs="Times New Roman"/>
          <w:color w:val="auto"/>
          <w:sz w:val="24"/>
          <w:szCs w:val="24"/>
          <w:highlight w:val="none"/>
          <w:lang w:val="en-US" w:eastAsia="zh-CN"/>
        </w:rPr>
        <w:t>七</w:t>
      </w:r>
      <w:r>
        <w:rPr>
          <w:rFonts w:hint="default" w:ascii="Times New Roman" w:hAnsi="Times New Roman" w:eastAsia="方正仿宋_GBK" w:cs="Times New Roman"/>
          <w:color w:val="auto"/>
          <w:sz w:val="24"/>
          <w:szCs w:val="24"/>
          <w:highlight w:val="none"/>
        </w:rPr>
        <w:t>）供应商参与人员</w:t>
      </w:r>
    </w:p>
    <w:p w14:paraId="15721707">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各个供应商应当派1-2名代表参与</w:t>
      </w:r>
      <w:r>
        <w:rPr>
          <w:rFonts w:hint="default" w:ascii="Times New Roman" w:hAnsi="Times New Roman" w:eastAsia="方正仿宋_GBK" w:cs="Times New Roman"/>
          <w:color w:val="auto"/>
          <w:sz w:val="24"/>
          <w:szCs w:val="24"/>
          <w:highlight w:val="none"/>
          <w:lang w:eastAsia="zh-CN"/>
        </w:rPr>
        <w:t>比选</w:t>
      </w:r>
      <w:r>
        <w:rPr>
          <w:rFonts w:hint="default" w:ascii="Times New Roman" w:hAnsi="Times New Roman" w:eastAsia="方正仿宋_GBK" w:cs="Times New Roman"/>
          <w:color w:val="auto"/>
          <w:sz w:val="24"/>
          <w:szCs w:val="24"/>
          <w:highlight w:val="none"/>
        </w:rPr>
        <w:t>，至少1人应为法定代表人（或其授权代表）或自然人（供应商为自然人）。</w:t>
      </w:r>
    </w:p>
    <w:p w14:paraId="0C45A2B3">
      <w:pPr>
        <w:pStyle w:val="26"/>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四、</w:t>
      </w:r>
      <w:r>
        <w:rPr>
          <w:rFonts w:hint="eastAsia" w:ascii="Times New Roman" w:hAnsi="Times New Roman" w:cs="Times New Roman"/>
          <w:color w:val="auto"/>
          <w:highlight w:val="none"/>
          <w:lang w:val="en-US" w:eastAsia="zh-CN"/>
        </w:rPr>
        <w:t>比选</w:t>
      </w:r>
    </w:p>
    <w:p w14:paraId="682DD432">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w:t>
      </w:r>
      <w:r>
        <w:rPr>
          <w:rFonts w:hint="eastAsia" w:ascii="Times New Roman" w:hAnsi="Times New Roman" w:cs="Times New Roman"/>
          <w:color w:val="auto"/>
          <w:highlight w:val="none"/>
          <w:lang w:val="en-US" w:eastAsia="zh-CN"/>
        </w:rPr>
        <w:t>比选</w:t>
      </w:r>
      <w:r>
        <w:rPr>
          <w:rFonts w:hint="default" w:ascii="Times New Roman" w:hAnsi="Times New Roman" w:cs="Times New Roman"/>
          <w:color w:val="auto"/>
          <w:highlight w:val="none"/>
          <w:lang w:val="en-US" w:eastAsia="zh-CN"/>
        </w:rPr>
        <w:t>在采购文件中</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采购邀请书</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确定的时间和地点公开进行。</w:t>
      </w:r>
    </w:p>
    <w:p w14:paraId="7A6D742A">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（二）</w:t>
      </w:r>
      <w:r>
        <w:rPr>
          <w:rFonts w:hint="eastAsia" w:ascii="Times New Roman" w:hAnsi="Times New Roman" w:cs="Times New Roman"/>
          <w:color w:val="auto"/>
          <w:highlight w:val="none"/>
          <w:lang w:val="en-US" w:eastAsia="zh-CN"/>
        </w:rPr>
        <w:t>比选</w:t>
      </w:r>
      <w:r>
        <w:rPr>
          <w:rFonts w:hint="default" w:ascii="Times New Roman" w:hAnsi="Times New Roman" w:cs="Times New Roman"/>
          <w:color w:val="auto"/>
          <w:highlight w:val="none"/>
          <w:lang w:val="en-US" w:eastAsia="zh-CN"/>
        </w:rPr>
        <w:t>由采购人主持，有关监督部门可视情况派员现场监督。</w:t>
      </w:r>
    </w:p>
    <w:p w14:paraId="13BFF3C5">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（三）</w:t>
      </w:r>
      <w:r>
        <w:rPr>
          <w:rFonts w:hint="eastAsia" w:ascii="Times New Roman" w:hAnsi="Times New Roman" w:cs="Times New Roman"/>
          <w:color w:val="auto"/>
          <w:highlight w:val="none"/>
          <w:lang w:val="en-US" w:eastAsia="zh-CN"/>
        </w:rPr>
        <w:t>比选</w:t>
      </w:r>
      <w:r>
        <w:rPr>
          <w:rFonts w:hint="default" w:ascii="Times New Roman" w:hAnsi="Times New Roman" w:cs="Times New Roman"/>
          <w:color w:val="auto"/>
          <w:highlight w:val="none"/>
          <w:lang w:val="en-US" w:eastAsia="zh-CN"/>
        </w:rPr>
        <w:t>时，由供应商或者其推选的代表检查响应文件的密封情况；经确认无误后，按程序进行</w:t>
      </w:r>
      <w:r>
        <w:rPr>
          <w:rFonts w:hint="eastAsia" w:ascii="Times New Roman" w:hAnsi="Times New Roman" w:cs="Times New Roman"/>
          <w:color w:val="auto"/>
          <w:highlight w:val="none"/>
          <w:lang w:val="en-US" w:eastAsia="zh-CN"/>
        </w:rPr>
        <w:t>比选</w:t>
      </w:r>
      <w:r>
        <w:rPr>
          <w:rFonts w:hint="default" w:ascii="Times New Roman" w:hAnsi="Times New Roman" w:cs="Times New Roman"/>
          <w:color w:val="auto"/>
          <w:highlight w:val="none"/>
          <w:lang w:val="en-US" w:eastAsia="zh-CN"/>
        </w:rPr>
        <w:t>。供应商不足三家的，不得进行</w:t>
      </w:r>
      <w:r>
        <w:rPr>
          <w:rFonts w:hint="eastAsia" w:ascii="Times New Roman" w:hAnsi="Times New Roman" w:cs="Times New Roman"/>
          <w:color w:val="auto"/>
          <w:highlight w:val="none"/>
          <w:lang w:val="en-US" w:eastAsia="zh-CN"/>
        </w:rPr>
        <w:t>比选</w:t>
      </w:r>
      <w:r>
        <w:rPr>
          <w:rFonts w:hint="default" w:ascii="Times New Roman" w:hAnsi="Times New Roman" w:cs="Times New Roman"/>
          <w:color w:val="auto"/>
          <w:highlight w:val="none"/>
          <w:lang w:val="en-US" w:eastAsia="zh-CN"/>
        </w:rPr>
        <w:t>采购。</w:t>
      </w:r>
    </w:p>
    <w:p w14:paraId="5816F4C8">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（四）</w:t>
      </w:r>
      <w:r>
        <w:rPr>
          <w:rFonts w:hint="eastAsia" w:ascii="Times New Roman" w:hAnsi="Times New Roman" w:cs="Times New Roman"/>
          <w:color w:val="auto"/>
          <w:highlight w:val="none"/>
          <w:lang w:val="en-US" w:eastAsia="zh-CN"/>
        </w:rPr>
        <w:t>比选</w:t>
      </w:r>
      <w:r>
        <w:rPr>
          <w:rFonts w:hint="default" w:ascii="Times New Roman" w:hAnsi="Times New Roman" w:cs="Times New Roman"/>
          <w:color w:val="auto"/>
          <w:highlight w:val="none"/>
          <w:lang w:val="en-US" w:eastAsia="zh-CN"/>
        </w:rPr>
        <w:t>过程应由采购人负责记录，并存档备查。</w:t>
      </w:r>
    </w:p>
    <w:p w14:paraId="1070175C">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（五）供应商未参加开标的，视同认可开标结果。</w:t>
      </w:r>
    </w:p>
    <w:p w14:paraId="64C463B1">
      <w:pPr>
        <w:pStyle w:val="26"/>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五、成交供应商的确定和变更</w:t>
      </w:r>
    </w:p>
    <w:p w14:paraId="7D7B1F57">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（一）采购人应当从评审报告提出的成交候选人中，</w:t>
      </w:r>
      <w:r>
        <w:rPr>
          <w:rFonts w:hint="default" w:ascii="Times New Roman" w:hAnsi="Times New Roman" w:eastAsia="方正仿宋_GBK" w:cs="Times New Roman"/>
          <w:color w:val="auto"/>
          <w:sz w:val="24"/>
          <w:szCs w:val="24"/>
          <w:highlight w:val="none"/>
        </w:rPr>
        <w:t>按照排序由高到低的原则确定成交供应商。</w:t>
      </w:r>
    </w:p>
    <w:p w14:paraId="1F406CD5">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（二）成交供应商的变更</w:t>
      </w:r>
    </w:p>
    <w:p w14:paraId="44DC0F6C">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rPr>
        <w:t>成交供应商拒绝与采购人签订合同的，采购人可以按照</w:t>
      </w:r>
      <w:r>
        <w:rPr>
          <w:rFonts w:hint="default" w:ascii="Times New Roman" w:hAnsi="Times New Roman" w:eastAsia="方正仿宋_GBK" w:cs="Times New Roman"/>
          <w:color w:val="auto"/>
          <w:sz w:val="24"/>
          <w:szCs w:val="24"/>
          <w:highlight w:val="none"/>
        </w:rPr>
        <w:t>评标结果记录表</w:t>
      </w:r>
      <w:r>
        <w:rPr>
          <w:rFonts w:hint="default" w:ascii="Times New Roman" w:hAnsi="Times New Roman" w:eastAsia="方正仿宋_GBK" w:cs="Times New Roman"/>
          <w:color w:val="auto"/>
          <w:sz w:val="24"/>
          <w:highlight w:val="none"/>
        </w:rPr>
        <w:t>推荐的成交候选供应商顺序，确定排名下一位的候选人为成交供应商，也可以重新开展采购活动。拒绝签订采购合同的成交供应商不得参加对该项目重新开展的采购活动。</w:t>
      </w:r>
    </w:p>
    <w:p w14:paraId="4421D481">
      <w:pPr>
        <w:pStyle w:val="25"/>
        <w:rPr>
          <w:rFonts w:hint="default" w:ascii="Times New Roman" w:hAnsi="Times New Roman" w:eastAsia="方正仿宋_GBK" w:cs="Times New Roman"/>
          <w:color w:val="auto"/>
          <w:highlight w:val="none"/>
          <w:lang w:val="en-US" w:eastAsia="zh-CN"/>
        </w:rPr>
      </w:pPr>
      <w:r>
        <w:rPr>
          <w:rFonts w:hint="default" w:ascii="Times New Roman" w:hAnsi="Times New Roman" w:cs="Times New Roman"/>
          <w:color w:val="auto"/>
          <w:sz w:val="24"/>
          <w:highlight w:val="none"/>
          <w:lang w:val="en-US" w:eastAsia="zh-CN"/>
        </w:rPr>
        <w:t>2.成交供应商无充分理由放弃成交的，采购人将向医院及上级监督部门报告并列入供应商黑名单，监督部门将根据相关法律法规的规定进行处理。</w:t>
      </w:r>
    </w:p>
    <w:p w14:paraId="6239FE46">
      <w:pPr>
        <w:pStyle w:val="17"/>
        <w:spacing w:line="480" w:lineRule="exact"/>
        <w:ind w:firstLine="480" w:firstLineChars="200"/>
        <w:rPr>
          <w:rFonts w:hint="default" w:ascii="Times New Roman" w:hAnsi="Times New Roman" w:eastAsia="方正黑体_GBK" w:cs="Times New Roman"/>
          <w:bCs/>
          <w:color w:val="auto"/>
          <w:sz w:val="24"/>
          <w:szCs w:val="24"/>
          <w:highlight w:val="none"/>
        </w:rPr>
      </w:pPr>
      <w:r>
        <w:rPr>
          <w:rFonts w:hint="default" w:ascii="Times New Roman" w:hAnsi="Times New Roman" w:eastAsia="方正黑体_GBK" w:cs="Times New Roman"/>
          <w:bCs/>
          <w:color w:val="auto"/>
          <w:sz w:val="24"/>
          <w:szCs w:val="24"/>
          <w:highlight w:val="none"/>
          <w:lang w:eastAsia="zh-CN"/>
        </w:rPr>
        <w:t>六</w:t>
      </w:r>
      <w:r>
        <w:rPr>
          <w:rFonts w:hint="default" w:ascii="Times New Roman" w:hAnsi="Times New Roman" w:eastAsia="方正黑体_GBK" w:cs="Times New Roman"/>
          <w:bCs/>
          <w:color w:val="auto"/>
          <w:sz w:val="24"/>
          <w:szCs w:val="24"/>
          <w:highlight w:val="none"/>
        </w:rPr>
        <w:t>、质疑和投诉</w:t>
      </w:r>
    </w:p>
    <w:p w14:paraId="62C56F9E">
      <w:pPr>
        <w:spacing w:line="48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（一）质疑</w:t>
      </w:r>
    </w:p>
    <w:p w14:paraId="30A4FA7F">
      <w:pPr>
        <w:spacing w:line="48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认为采购文件、采购过程和中标结果使自己的权益受到损害的，可向采购人以书面形式提出质疑。</w:t>
      </w:r>
    </w:p>
    <w:p w14:paraId="6A554828">
      <w:pPr>
        <w:spacing w:line="48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提出质疑的应当是参与所质疑项目采购活动的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w:t>
      </w:r>
    </w:p>
    <w:p w14:paraId="0DC5D4D3">
      <w:pPr>
        <w:spacing w:line="400" w:lineRule="exact"/>
        <w:ind w:right="12" w:firstLine="480"/>
        <w:outlineLvl w:val="2"/>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1.质疑时限、内容</w:t>
      </w:r>
    </w:p>
    <w:p w14:paraId="4A0580EF">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供应商认为采购文件、采购过程、成交结果使自己的权益受到损害的，可以在知道或者应知其权益受到损害之日起7个工作日内，以书面形式向采购人提出质疑。</w:t>
      </w:r>
    </w:p>
    <w:p w14:paraId="2F21F2BB">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1.2供应商提出质疑应当提交质疑函和必要的证明材料，质疑函应当包括下列内容：</w:t>
      </w:r>
    </w:p>
    <w:p w14:paraId="377B92C1">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1.2.1供应商的姓名或者名称、地址、邮编、联系人及联系电话；</w:t>
      </w:r>
    </w:p>
    <w:p w14:paraId="68D98DB4">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1.2.2质疑项目的名称、项目号以及采购执行编号；</w:t>
      </w:r>
    </w:p>
    <w:p w14:paraId="1FBD4057">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1.2.3具体、明确的质疑事项和与质疑事项相关的请求；</w:t>
      </w:r>
    </w:p>
    <w:p w14:paraId="7109BC0A">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1.2.4事实依据；</w:t>
      </w:r>
    </w:p>
    <w:p w14:paraId="27390802">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1.2.5必要的法律依据；</w:t>
      </w:r>
    </w:p>
    <w:p w14:paraId="57D412DA">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1.2.6提出质疑的日期；</w:t>
      </w:r>
    </w:p>
    <w:p w14:paraId="1C48654B">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1.2.7营业执照（或事业单位法人证书，或个体工商户营业执照或有效的自然人身份证明）复印件；</w:t>
      </w:r>
    </w:p>
    <w:p w14:paraId="105036BD">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1.2.8法定代表人授权委托书原件、法定代表人身份证复印件和其授权代表的身份证复印件（供应商为自然人的提供自然人身份证复印件）；</w:t>
      </w:r>
    </w:p>
    <w:p w14:paraId="6F557AE8">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1.3供应商为自然人的，质疑函应当由本人签字；供应商为法人或者其他组织的，质疑函应当由法定代表人、主要负责人，或者其授权代表签字或者盖章，并加盖公章。</w:t>
      </w:r>
    </w:p>
    <w:p w14:paraId="7225C82E">
      <w:pPr>
        <w:spacing w:line="48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2.质疑答复</w:t>
      </w:r>
    </w:p>
    <w:p w14:paraId="755A3E72">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采购人应当在收到供应商的书面质疑后七个工作日内作出答复，并以书面形式通知质疑供应商和其他有关供应商。</w:t>
      </w:r>
    </w:p>
    <w:p w14:paraId="2A47B6FE">
      <w:pPr>
        <w:spacing w:line="48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3.其他</w:t>
      </w:r>
    </w:p>
    <w:p w14:paraId="51ACABA0">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3.1供应商应按照《政府采购质疑和投诉办法》（财政部令第94号）及相关法律法规要求，在法定质疑期内一次性提出针对同一采购程序环节的质疑。</w:t>
      </w:r>
    </w:p>
    <w:p w14:paraId="5C719E5E">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3.2质疑函范本可在财政部门户网站和中国政府采购网下载。</w:t>
      </w:r>
    </w:p>
    <w:p w14:paraId="351D035A">
      <w:pPr>
        <w:spacing w:line="48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（二）投诉</w:t>
      </w:r>
    </w:p>
    <w:p w14:paraId="5B380F93">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highlight w:val="none"/>
        </w:rPr>
        <w:t>.供应商对采购人的答复不满意，或者采购人未在规定时间内作出答复的，可以在答复期满后15个工作日内按照相关法律法规向财政部门提起投诉。</w:t>
      </w:r>
    </w:p>
    <w:p w14:paraId="58B4D796">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158BA8BA">
      <w:pPr>
        <w:spacing w:line="400" w:lineRule="exact"/>
        <w:ind w:right="12"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40A0FBA">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4463A0C5">
      <w:pPr>
        <w:spacing w:line="480" w:lineRule="exact"/>
        <w:ind w:firstLine="480" w:firstLineChars="200"/>
        <w:rPr>
          <w:rFonts w:hint="default" w:ascii="Times New Roman" w:hAnsi="Times New Roman" w:eastAsia="方正黑体_GBK" w:cs="Times New Roman"/>
          <w:bCs/>
          <w:color w:val="auto"/>
          <w:sz w:val="24"/>
          <w:szCs w:val="24"/>
          <w:highlight w:val="none"/>
        </w:rPr>
      </w:pPr>
      <w:r>
        <w:rPr>
          <w:rFonts w:hint="default" w:ascii="Times New Roman" w:hAnsi="Times New Roman" w:eastAsia="方正黑体_GBK" w:cs="Times New Roman"/>
          <w:bCs/>
          <w:color w:val="auto"/>
          <w:sz w:val="24"/>
          <w:szCs w:val="24"/>
          <w:highlight w:val="none"/>
          <w:lang w:eastAsia="zh-CN"/>
        </w:rPr>
        <w:t>七</w:t>
      </w:r>
      <w:r>
        <w:rPr>
          <w:rFonts w:hint="default" w:ascii="Times New Roman" w:hAnsi="Times New Roman" w:eastAsia="方正黑体_GBK" w:cs="Times New Roman"/>
          <w:bCs/>
          <w:color w:val="auto"/>
          <w:sz w:val="24"/>
          <w:szCs w:val="24"/>
          <w:highlight w:val="none"/>
        </w:rPr>
        <w:t>、签订合同</w:t>
      </w:r>
    </w:p>
    <w:p w14:paraId="6101D0BA">
      <w:pPr>
        <w:spacing w:line="400" w:lineRule="exact"/>
        <w:ind w:firstLine="360" w:firstLineChars="1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（一）采购人应当自收到成交通知书发出之日起20日内，按照采购文件和</w:t>
      </w:r>
      <w:r>
        <w:rPr>
          <w:rFonts w:hint="eastAsia"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响应文件的约定，与</w:t>
      </w:r>
      <w:r>
        <w:rPr>
          <w:rFonts w:hint="eastAsia"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签订书面合同。所签订的合同不得对采购文件和</w:t>
      </w:r>
      <w:r>
        <w:rPr>
          <w:rFonts w:hint="eastAsia"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响应文件作实质性修改。</w:t>
      </w:r>
    </w:p>
    <w:p w14:paraId="432D271C">
      <w:pPr>
        <w:spacing w:line="400" w:lineRule="exact"/>
        <w:ind w:firstLine="360" w:firstLineChars="1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（二）采购文件、</w:t>
      </w:r>
      <w:r>
        <w:rPr>
          <w:rFonts w:hint="eastAsia"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的响应文件及澄清文件等，均为签订采购合同的依据。</w:t>
      </w:r>
    </w:p>
    <w:p w14:paraId="6E2D09FC">
      <w:pPr>
        <w:spacing w:line="400" w:lineRule="exact"/>
        <w:ind w:firstLine="360" w:firstLineChars="1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（三）采购人与成交供应商签署合同时，应当同时签署廉洁购销合同，列明企业指定销售代表姓名，以及不得实施商业贿赂行为、实施商业贿赂行为后将被列入商业贿赂不良记录等条款。</w:t>
      </w:r>
    </w:p>
    <w:p w14:paraId="444F70FA">
      <w:pPr>
        <w:spacing w:line="400" w:lineRule="exact"/>
        <w:ind w:firstLine="360" w:firstLineChars="1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（四）合同生效条款由供需双方约定，法律、行政法规规定应当办理批准、登记等手续后生效的合同，依照其规定。</w:t>
      </w:r>
    </w:p>
    <w:p w14:paraId="6A99D4B7">
      <w:pPr>
        <w:pStyle w:val="25"/>
        <w:bidi w:val="0"/>
        <w:ind w:left="0" w:leftChars="0" w:firstLine="0" w:firstLineChars="0"/>
        <w:rPr>
          <w:rFonts w:hint="default" w:ascii="Times New Roman" w:hAnsi="Times New Roman" w:eastAsia="方正仿宋_GBK" w:cs="Times New Roman"/>
          <w:color w:val="auto"/>
          <w:sz w:val="24"/>
          <w:szCs w:val="24"/>
          <w:highlight w:val="none"/>
        </w:rPr>
      </w:pPr>
    </w:p>
    <w:p w14:paraId="72735DE5">
      <w:pPr>
        <w:pStyle w:val="25"/>
        <w:bidi w:val="0"/>
        <w:ind w:left="0" w:leftChars="0" w:firstLine="0" w:firstLineChars="0"/>
        <w:rPr>
          <w:rFonts w:hint="default" w:ascii="Times New Roman" w:hAnsi="Times New Roman" w:eastAsia="方正仿宋_GBK" w:cs="Times New Roman"/>
          <w:color w:val="auto"/>
          <w:sz w:val="24"/>
          <w:szCs w:val="24"/>
          <w:highlight w:val="none"/>
        </w:rPr>
      </w:pPr>
    </w:p>
    <w:p w14:paraId="31D9D0E3">
      <w:pPr>
        <w:pStyle w:val="25"/>
        <w:bidi w:val="0"/>
        <w:ind w:left="0" w:leftChars="0" w:firstLine="0" w:firstLineChars="0"/>
        <w:rPr>
          <w:rFonts w:hint="default" w:ascii="Times New Roman" w:hAnsi="Times New Roman" w:eastAsia="方正仿宋_GBK" w:cs="Times New Roman"/>
          <w:color w:val="auto"/>
          <w:sz w:val="24"/>
          <w:szCs w:val="24"/>
          <w:highlight w:val="none"/>
        </w:rPr>
        <w:sectPr>
          <w:pgSz w:w="11906" w:h="16838"/>
          <w:pgMar w:top="1984" w:right="1446" w:bottom="1644" w:left="1446" w:header="851" w:footer="992" w:gutter="0"/>
          <w:pgNumType w:fmt="decimal"/>
          <w:cols w:space="0" w:num="1"/>
          <w:rtlGutter w:val="0"/>
          <w:docGrid w:type="lines" w:linePitch="312" w:charSpace="0"/>
        </w:sectPr>
      </w:pPr>
    </w:p>
    <w:p w14:paraId="33DA0CA8">
      <w:pPr>
        <w:pStyle w:val="2"/>
        <w:keepNext/>
        <w:keepLines w:val="0"/>
        <w:pageBreakBefore w:val="0"/>
        <w:widowControl w:val="0"/>
        <w:kinsoku/>
        <w:wordWrap/>
        <w:overflowPunct/>
        <w:topLinePunct w:val="0"/>
        <w:autoSpaceDE/>
        <w:autoSpaceDN/>
        <w:bidi w:val="0"/>
        <w:adjustRightInd/>
        <w:snapToGrid w:val="0"/>
        <w:spacing w:beforeLines="0" w:afterLines="0" w:line="594" w:lineRule="exact"/>
        <w:ind w:firstLine="0" w:firstLineChars="0"/>
        <w:jc w:val="center"/>
        <w:textAlignment w:val="auto"/>
        <w:rPr>
          <w:rFonts w:hint="eastAsia" w:ascii="方正仿宋_GBK" w:hAnsi="方正仿宋_GBK" w:eastAsia="方正仿宋_GBK" w:cs="方正仿宋_GBK"/>
          <w:b/>
          <w:bCs/>
          <w:color w:val="auto"/>
          <w:sz w:val="36"/>
          <w:szCs w:val="36"/>
          <w:highlight w:val="none"/>
        </w:rPr>
      </w:pPr>
      <w:bookmarkStart w:id="35" w:name="_Toc13983"/>
      <w:bookmarkStart w:id="36" w:name="_Toc24088"/>
      <w:bookmarkStart w:id="37" w:name="_Toc10152"/>
      <w:bookmarkStart w:id="38" w:name="_Toc20762"/>
      <w:bookmarkStart w:id="39" w:name="_Toc19409"/>
      <w:bookmarkStart w:id="40" w:name="_Toc76373904"/>
      <w:r>
        <w:rPr>
          <w:rFonts w:hint="eastAsia" w:ascii="方正仿宋_GBK" w:hAnsi="方正仿宋_GBK" w:eastAsia="方正仿宋_GBK" w:cs="方正仿宋_GBK"/>
          <w:b/>
          <w:bCs/>
          <w:color w:val="auto"/>
          <w:sz w:val="36"/>
          <w:szCs w:val="36"/>
          <w:highlight w:val="none"/>
        </w:rPr>
        <w:t>第</w:t>
      </w:r>
      <w:r>
        <w:rPr>
          <w:rFonts w:hint="eastAsia" w:ascii="方正仿宋_GBK" w:hAnsi="方正仿宋_GBK" w:eastAsia="方正仿宋_GBK" w:cs="方正仿宋_GBK"/>
          <w:b/>
          <w:bCs/>
          <w:color w:val="auto"/>
          <w:sz w:val="36"/>
          <w:szCs w:val="36"/>
          <w:highlight w:val="none"/>
          <w:lang w:val="en-US" w:eastAsia="zh-CN"/>
        </w:rPr>
        <w:t>六</w:t>
      </w:r>
      <w:r>
        <w:rPr>
          <w:rFonts w:hint="eastAsia" w:ascii="方正仿宋_GBK" w:hAnsi="方正仿宋_GBK" w:eastAsia="方正仿宋_GBK" w:cs="方正仿宋_GBK"/>
          <w:b/>
          <w:bCs/>
          <w:color w:val="auto"/>
          <w:sz w:val="36"/>
          <w:szCs w:val="36"/>
          <w:highlight w:val="none"/>
        </w:rPr>
        <w:t>篇</w:t>
      </w:r>
      <w:r>
        <w:rPr>
          <w:rFonts w:hint="eastAsia" w:ascii="方正仿宋_GBK" w:hAnsi="方正仿宋_GBK" w:eastAsia="方正仿宋_GBK" w:cs="方正仿宋_GBK"/>
          <w:b/>
          <w:bCs/>
          <w:color w:val="auto"/>
          <w:sz w:val="36"/>
          <w:szCs w:val="36"/>
          <w:highlight w:val="none"/>
          <w:lang w:val="en-US" w:eastAsia="zh-CN"/>
        </w:rPr>
        <w:t xml:space="preserve"> </w:t>
      </w:r>
      <w:r>
        <w:rPr>
          <w:rFonts w:hint="eastAsia" w:ascii="方正仿宋_GBK" w:hAnsi="方正仿宋_GBK" w:eastAsia="方正仿宋_GBK" w:cs="方正仿宋_GBK"/>
          <w:b/>
          <w:bCs/>
          <w:color w:val="auto"/>
          <w:sz w:val="36"/>
          <w:szCs w:val="36"/>
          <w:highlight w:val="none"/>
        </w:rPr>
        <w:t>合同主要条款和格式合同（样本）</w:t>
      </w:r>
      <w:bookmarkEnd w:id="35"/>
      <w:bookmarkEnd w:id="36"/>
      <w:bookmarkEnd w:id="37"/>
      <w:bookmarkEnd w:id="38"/>
      <w:bookmarkEnd w:id="39"/>
      <w:bookmarkEnd w:id="40"/>
    </w:p>
    <w:p w14:paraId="4521B84E">
      <w:pPr>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合同具体内容由采购人与中标供应商协商</w:t>
      </w:r>
    </w:p>
    <w:p w14:paraId="24FB123D">
      <w:pPr>
        <w:pStyle w:val="26"/>
        <w:numPr>
          <w:ilvl w:val="0"/>
          <w:numId w:val="4"/>
        </w:numPr>
        <w:bidi w:val="0"/>
        <w:ind w:left="0" w:leftChars="0" w:firstLine="559" w:firstLineChars="233"/>
        <w:rPr>
          <w:rFonts w:hint="eastAsia"/>
          <w:color w:val="auto"/>
          <w:highlight w:val="none"/>
          <w:lang w:val="en-US" w:eastAsia="zh-CN"/>
        </w:rPr>
      </w:pPr>
      <w:bookmarkStart w:id="41" w:name="_Toc30180"/>
      <w:bookmarkStart w:id="42" w:name="_Toc285722712"/>
      <w:bookmarkStart w:id="43" w:name="_Toc76373905"/>
      <w:bookmarkStart w:id="44" w:name="_Toc277084870"/>
      <w:bookmarkStart w:id="45" w:name="_Toc10713"/>
      <w:bookmarkStart w:id="46" w:name="_Toc15581"/>
      <w:bookmarkStart w:id="47" w:name="_Toc1264"/>
      <w:bookmarkStart w:id="48" w:name="_Toc13344"/>
      <w:r>
        <w:rPr>
          <w:rFonts w:hint="eastAsia"/>
          <w:color w:val="auto"/>
          <w:highlight w:val="none"/>
          <w:lang w:val="en-US" w:eastAsia="zh-CN"/>
        </w:rPr>
        <w:t>合同主要条款</w:t>
      </w:r>
      <w:bookmarkEnd w:id="41"/>
      <w:bookmarkEnd w:id="42"/>
      <w:bookmarkEnd w:id="43"/>
      <w:bookmarkEnd w:id="44"/>
      <w:bookmarkEnd w:id="45"/>
      <w:bookmarkEnd w:id="46"/>
      <w:bookmarkEnd w:id="47"/>
      <w:bookmarkEnd w:id="48"/>
    </w:p>
    <w:p w14:paraId="0CBA88B0">
      <w:pPr>
        <w:pStyle w:val="25"/>
        <w:bidi w:val="0"/>
        <w:rPr>
          <w:rFonts w:hint="eastAsia"/>
          <w:color w:val="auto"/>
          <w:highlight w:val="none"/>
          <w:lang w:val="en-US" w:eastAsia="zh-CN"/>
        </w:rPr>
      </w:pPr>
      <w:r>
        <w:rPr>
          <w:rFonts w:hint="eastAsia"/>
          <w:color w:val="auto"/>
          <w:highlight w:val="none"/>
          <w:lang w:val="en-US" w:eastAsia="zh-CN"/>
        </w:rPr>
        <w:t>1.定义</w:t>
      </w:r>
    </w:p>
    <w:p w14:paraId="11C74B83">
      <w:pPr>
        <w:pStyle w:val="25"/>
        <w:bidi w:val="0"/>
        <w:rPr>
          <w:rFonts w:hint="eastAsia"/>
          <w:color w:val="auto"/>
          <w:highlight w:val="none"/>
          <w:lang w:val="en-US" w:eastAsia="zh-CN"/>
        </w:rPr>
      </w:pPr>
      <w:r>
        <w:rPr>
          <w:rFonts w:hint="eastAsia"/>
          <w:color w:val="auto"/>
          <w:highlight w:val="none"/>
          <w:lang w:val="en-US" w:eastAsia="zh-CN"/>
        </w:rPr>
        <w:t>1.1甲方（需方）即采购人，是指通过采购采购，接受合同货物及服务的各级国家机关、事业单位和团体组织。</w:t>
      </w:r>
    </w:p>
    <w:p w14:paraId="787A84A8">
      <w:pPr>
        <w:pStyle w:val="25"/>
        <w:bidi w:val="0"/>
        <w:rPr>
          <w:rFonts w:hint="eastAsia"/>
          <w:color w:val="auto"/>
          <w:highlight w:val="none"/>
          <w:lang w:val="en-US" w:eastAsia="zh-CN"/>
        </w:rPr>
      </w:pPr>
      <w:r>
        <w:rPr>
          <w:rFonts w:hint="eastAsia"/>
          <w:color w:val="auto"/>
          <w:highlight w:val="none"/>
          <w:lang w:val="en-US" w:eastAsia="zh-CN"/>
        </w:rPr>
        <w:t>1.2乙方（供方）即供应商，是指中标后提供合同货物和服务的自然人、法人及其他组织。</w:t>
      </w:r>
    </w:p>
    <w:p w14:paraId="09EB75F3">
      <w:pPr>
        <w:pStyle w:val="25"/>
        <w:bidi w:val="0"/>
        <w:rPr>
          <w:rFonts w:hint="eastAsia"/>
          <w:color w:val="auto"/>
          <w:highlight w:val="none"/>
          <w:lang w:val="en-US" w:eastAsia="zh-CN"/>
        </w:rPr>
      </w:pPr>
      <w:r>
        <w:rPr>
          <w:rFonts w:hint="eastAsia"/>
          <w:color w:val="auto"/>
          <w:highlight w:val="none"/>
          <w:lang w:val="en-US" w:eastAsia="zh-CN"/>
        </w:rPr>
        <w:t>1.3合同是指由甲乙双方按照采购文件和响应文件的实质性内容，通过协商一致达成的书面协议。</w:t>
      </w:r>
    </w:p>
    <w:p w14:paraId="75258B83">
      <w:pPr>
        <w:pStyle w:val="25"/>
        <w:bidi w:val="0"/>
        <w:rPr>
          <w:rFonts w:hint="eastAsia"/>
          <w:color w:val="auto"/>
          <w:highlight w:val="none"/>
          <w:lang w:val="en-US" w:eastAsia="zh-CN"/>
        </w:rPr>
      </w:pPr>
      <w:r>
        <w:rPr>
          <w:rFonts w:hint="eastAsia"/>
          <w:color w:val="auto"/>
          <w:highlight w:val="none"/>
          <w:lang w:val="en-US" w:eastAsia="zh-CN"/>
        </w:rPr>
        <w:t>1.4合同价格指以中标价格为依据，在供方全面履行合同义务后，需方（或财政部门）应支付给供方的金额。</w:t>
      </w:r>
    </w:p>
    <w:p w14:paraId="1AACD08D">
      <w:pPr>
        <w:pStyle w:val="25"/>
        <w:bidi w:val="0"/>
        <w:rPr>
          <w:rFonts w:hint="eastAsia"/>
          <w:color w:val="auto"/>
          <w:highlight w:val="none"/>
          <w:lang w:val="en-US" w:eastAsia="zh-CN"/>
        </w:rPr>
      </w:pPr>
      <w:r>
        <w:rPr>
          <w:rFonts w:hint="eastAsia"/>
          <w:color w:val="auto"/>
          <w:highlight w:val="none"/>
          <w:lang w:val="en-US" w:eastAsia="zh-CN"/>
        </w:rPr>
        <w:t>1.5技术资料是指合同货物及其相关的设计、制造、监造、检验、验收等文件（包括图纸、各种文字说明、标准）。</w:t>
      </w:r>
    </w:p>
    <w:p w14:paraId="4001AD9B">
      <w:pPr>
        <w:pStyle w:val="25"/>
        <w:bidi w:val="0"/>
        <w:rPr>
          <w:rFonts w:hint="eastAsia"/>
          <w:color w:val="auto"/>
          <w:highlight w:val="none"/>
          <w:lang w:val="en-US" w:eastAsia="zh-CN"/>
        </w:rPr>
      </w:pPr>
      <w:r>
        <w:rPr>
          <w:rFonts w:hint="eastAsia"/>
          <w:color w:val="auto"/>
          <w:highlight w:val="none"/>
          <w:lang w:val="en-US" w:eastAsia="zh-CN"/>
        </w:rPr>
        <w:t>2.货物内容</w:t>
      </w:r>
    </w:p>
    <w:p w14:paraId="419622D0">
      <w:pPr>
        <w:pStyle w:val="25"/>
        <w:bidi w:val="0"/>
        <w:rPr>
          <w:rFonts w:hint="eastAsia"/>
          <w:color w:val="auto"/>
          <w:highlight w:val="none"/>
          <w:lang w:val="en-US" w:eastAsia="zh-CN"/>
        </w:rPr>
      </w:pPr>
      <w:r>
        <w:rPr>
          <w:rFonts w:hint="eastAsia"/>
          <w:color w:val="auto"/>
          <w:highlight w:val="none"/>
          <w:lang w:val="en-US" w:eastAsia="zh-CN"/>
        </w:rPr>
        <w:t>合同包括以下内容：货物名称、型号规格、技术参数、数量（单位）等内容。</w:t>
      </w:r>
    </w:p>
    <w:p w14:paraId="4FC29CA4">
      <w:pPr>
        <w:pStyle w:val="25"/>
        <w:bidi w:val="0"/>
        <w:rPr>
          <w:rFonts w:hint="eastAsia"/>
          <w:color w:val="auto"/>
          <w:highlight w:val="none"/>
          <w:lang w:val="en-US" w:eastAsia="zh-CN"/>
        </w:rPr>
      </w:pPr>
      <w:r>
        <w:rPr>
          <w:rFonts w:hint="eastAsia"/>
          <w:color w:val="auto"/>
          <w:highlight w:val="none"/>
          <w:lang w:val="en-US" w:eastAsia="zh-CN"/>
        </w:rPr>
        <w:t>3.合同价格</w:t>
      </w:r>
    </w:p>
    <w:p w14:paraId="1BE4A062">
      <w:pPr>
        <w:pStyle w:val="25"/>
        <w:bidi w:val="0"/>
        <w:rPr>
          <w:rFonts w:hint="eastAsia"/>
          <w:color w:val="auto"/>
          <w:highlight w:val="none"/>
          <w:lang w:val="en-US" w:eastAsia="zh-CN"/>
        </w:rPr>
      </w:pPr>
      <w:r>
        <w:rPr>
          <w:rFonts w:hint="eastAsia"/>
          <w:color w:val="auto"/>
          <w:highlight w:val="none"/>
          <w:lang w:val="en-US" w:eastAsia="zh-CN"/>
        </w:rPr>
        <w:t>3.1合同价格即合同总价。</w:t>
      </w:r>
    </w:p>
    <w:p w14:paraId="59604B38">
      <w:pPr>
        <w:pStyle w:val="25"/>
        <w:bidi w:val="0"/>
        <w:rPr>
          <w:rFonts w:hint="eastAsia"/>
          <w:color w:val="auto"/>
          <w:highlight w:val="none"/>
          <w:lang w:val="en-US" w:eastAsia="zh-CN"/>
        </w:rPr>
      </w:pPr>
      <w:r>
        <w:rPr>
          <w:rFonts w:hint="eastAsia"/>
          <w:color w:val="auto"/>
          <w:highlight w:val="none"/>
          <w:lang w:val="en-US" w:eastAsia="zh-CN"/>
        </w:rPr>
        <w:t>3.2合同价格包括</w:t>
      </w:r>
      <w:r>
        <w:rPr>
          <w:rFonts w:hint="default"/>
          <w:color w:val="auto"/>
          <w:highlight w:val="none"/>
          <w:lang w:val="en-US" w:eastAsia="zh-CN"/>
        </w:rPr>
        <w:t>完成本项目</w:t>
      </w:r>
      <w:r>
        <w:rPr>
          <w:rFonts w:hint="eastAsia"/>
          <w:color w:val="auto"/>
          <w:highlight w:val="none"/>
          <w:lang w:val="en-US" w:eastAsia="zh-CN"/>
        </w:rPr>
        <w:t>设备购置</w:t>
      </w:r>
      <w:r>
        <w:rPr>
          <w:rFonts w:hint="default"/>
          <w:color w:val="auto"/>
          <w:highlight w:val="none"/>
          <w:lang w:val="en-US" w:eastAsia="zh-CN"/>
        </w:rPr>
        <w:t>的全部</w:t>
      </w:r>
      <w:r>
        <w:rPr>
          <w:rFonts w:hint="eastAsia"/>
          <w:color w:val="auto"/>
          <w:highlight w:val="none"/>
          <w:lang w:val="en-US" w:eastAsia="zh-CN"/>
        </w:rPr>
        <w:t>费用</w:t>
      </w:r>
      <w:r>
        <w:rPr>
          <w:rFonts w:hint="default"/>
          <w:color w:val="auto"/>
          <w:highlight w:val="none"/>
          <w:lang w:val="en-US" w:eastAsia="zh-CN"/>
        </w:rPr>
        <w:t>，包括商品价、运输费(含包装费、装卸费)、保险费、安装调试费、税费(若有进口商品，须包含关税)、培训费、供应商工作人员差旅费、第三方机构验收费用等供应商将全部商品送达至采购人指定地点并安装调试能够运行的所有费用及质保期内的售后服务费，均由供应商承担。合同履行期间合同总价款不变，采购人应当按合同约定进行付款，采购人无须另行向供应商支付合同约定之外的其他任何费用。</w:t>
      </w:r>
    </w:p>
    <w:p w14:paraId="5D7FF614">
      <w:pPr>
        <w:pStyle w:val="25"/>
        <w:bidi w:val="0"/>
        <w:rPr>
          <w:rFonts w:hint="eastAsia"/>
          <w:color w:val="auto"/>
          <w:highlight w:val="none"/>
          <w:lang w:val="en-US" w:eastAsia="zh-CN"/>
        </w:rPr>
      </w:pPr>
      <w:r>
        <w:rPr>
          <w:rFonts w:hint="eastAsia"/>
          <w:color w:val="auto"/>
          <w:highlight w:val="none"/>
          <w:lang w:val="en-US" w:eastAsia="zh-CN"/>
        </w:rPr>
        <w:t>3.3合同货物单价为不变价，因供应商自身原因造成漏报、少报皆由其自行承担责任，采购人不再补偿。</w:t>
      </w:r>
    </w:p>
    <w:p w14:paraId="186606A7">
      <w:pPr>
        <w:pStyle w:val="25"/>
        <w:bidi w:val="0"/>
        <w:rPr>
          <w:rFonts w:hint="eastAsia"/>
          <w:color w:val="auto"/>
          <w:highlight w:val="none"/>
          <w:lang w:val="en-US" w:eastAsia="zh-CN"/>
        </w:rPr>
      </w:pPr>
      <w:r>
        <w:rPr>
          <w:rFonts w:hint="eastAsia"/>
          <w:color w:val="auto"/>
          <w:highlight w:val="none"/>
          <w:lang w:val="en-US" w:eastAsia="zh-CN"/>
        </w:rPr>
        <w:t>4.转包或分包</w:t>
      </w:r>
    </w:p>
    <w:p w14:paraId="567EEB98">
      <w:pPr>
        <w:pStyle w:val="25"/>
        <w:bidi w:val="0"/>
        <w:rPr>
          <w:rFonts w:hint="eastAsia"/>
          <w:color w:val="auto"/>
          <w:highlight w:val="none"/>
          <w:lang w:val="en-US" w:eastAsia="zh-CN"/>
        </w:rPr>
      </w:pPr>
      <w:r>
        <w:rPr>
          <w:rFonts w:hint="eastAsia"/>
          <w:color w:val="auto"/>
          <w:highlight w:val="none"/>
          <w:lang w:val="en-US" w:eastAsia="zh-CN"/>
        </w:rPr>
        <w:t>4.1本合同范围的货物，应由乙方直接供应，不得转让他人供应；</w:t>
      </w:r>
    </w:p>
    <w:p w14:paraId="1F1890BC">
      <w:pPr>
        <w:pStyle w:val="25"/>
        <w:bidi w:val="0"/>
        <w:rPr>
          <w:rFonts w:hint="eastAsia"/>
          <w:color w:val="auto"/>
          <w:highlight w:val="none"/>
          <w:lang w:val="en-US" w:eastAsia="zh-CN"/>
        </w:rPr>
      </w:pPr>
      <w:r>
        <w:rPr>
          <w:rFonts w:hint="eastAsia"/>
          <w:color w:val="auto"/>
          <w:highlight w:val="none"/>
          <w:lang w:val="en-US" w:eastAsia="zh-CN"/>
        </w:rPr>
        <w:t>4.2非经甲方书面同意，乙方不得将本合同范围的货物全部或部分分包给他人供应；</w:t>
      </w:r>
    </w:p>
    <w:p w14:paraId="55C1BF5F">
      <w:pPr>
        <w:pStyle w:val="25"/>
        <w:bidi w:val="0"/>
        <w:rPr>
          <w:rFonts w:hint="eastAsia"/>
          <w:color w:val="auto"/>
          <w:highlight w:val="none"/>
          <w:lang w:val="en-US" w:eastAsia="zh-CN"/>
        </w:rPr>
      </w:pPr>
      <w:r>
        <w:rPr>
          <w:rFonts w:hint="eastAsia"/>
          <w:color w:val="auto"/>
          <w:highlight w:val="none"/>
          <w:lang w:val="en-US" w:eastAsia="zh-CN"/>
        </w:rPr>
        <w:t>4.3如有转让和未经甲方同意的分包行为，甲方有权解除合同，并追究乙方的违约责任。</w:t>
      </w:r>
    </w:p>
    <w:p w14:paraId="3FEA7614">
      <w:pPr>
        <w:pStyle w:val="25"/>
        <w:bidi w:val="0"/>
        <w:rPr>
          <w:rFonts w:hint="eastAsia"/>
          <w:color w:val="auto"/>
          <w:highlight w:val="none"/>
          <w:lang w:val="en-US" w:eastAsia="zh-CN"/>
        </w:rPr>
      </w:pPr>
      <w:r>
        <w:rPr>
          <w:rFonts w:hint="eastAsia"/>
          <w:color w:val="auto"/>
          <w:highlight w:val="none"/>
          <w:lang w:val="en-US" w:eastAsia="zh-CN"/>
        </w:rPr>
        <w:t>5.质量保证及售后服务</w:t>
      </w:r>
    </w:p>
    <w:p w14:paraId="3EB8F336">
      <w:pPr>
        <w:pStyle w:val="25"/>
        <w:bidi w:val="0"/>
        <w:rPr>
          <w:rFonts w:hint="eastAsia"/>
          <w:color w:val="auto"/>
          <w:highlight w:val="none"/>
          <w:lang w:val="en-US" w:eastAsia="zh-CN"/>
        </w:rPr>
      </w:pPr>
      <w:r>
        <w:rPr>
          <w:rFonts w:hint="eastAsia"/>
          <w:color w:val="auto"/>
          <w:highlight w:val="none"/>
          <w:lang w:val="en-US" w:eastAsia="zh-CN"/>
        </w:rPr>
        <w:t>5.1乙方应按采购文件规定的货物性能、技术要求、质量标准向甲方提供未经使用的全新产品。</w:t>
      </w:r>
    </w:p>
    <w:p w14:paraId="5B7C0E72">
      <w:pPr>
        <w:pStyle w:val="25"/>
        <w:bidi w:val="0"/>
        <w:rPr>
          <w:rFonts w:hint="eastAsia"/>
          <w:color w:val="auto"/>
          <w:highlight w:val="none"/>
          <w:lang w:val="en-US" w:eastAsia="zh-CN"/>
        </w:rPr>
      </w:pPr>
      <w:r>
        <w:rPr>
          <w:rFonts w:hint="eastAsia"/>
          <w:color w:val="auto"/>
          <w:highlight w:val="none"/>
          <w:lang w:val="en-US" w:eastAsia="zh-CN"/>
        </w:rPr>
        <w:t>5.2乙方提供的货物在质保期内因货物本身的质量问题发生故障，乙方应负责免费更换。对达不到技术要求者，根据实际情况，经双方协商，可按以下办法处理：</w:t>
      </w:r>
    </w:p>
    <w:p w14:paraId="3760B8D4">
      <w:pPr>
        <w:pStyle w:val="25"/>
        <w:bidi w:val="0"/>
        <w:rPr>
          <w:rFonts w:hint="eastAsia"/>
          <w:color w:val="auto"/>
          <w:highlight w:val="none"/>
          <w:lang w:val="en-US" w:eastAsia="zh-CN"/>
        </w:rPr>
      </w:pPr>
      <w:r>
        <w:rPr>
          <w:rFonts w:hint="eastAsia"/>
          <w:color w:val="auto"/>
          <w:highlight w:val="none"/>
          <w:lang w:val="en-US" w:eastAsia="zh-CN"/>
        </w:rPr>
        <w:t>5.2.1更换：由乙方承担所发生的全部费用。</w:t>
      </w:r>
    </w:p>
    <w:p w14:paraId="6ADE46D9">
      <w:pPr>
        <w:pStyle w:val="25"/>
        <w:bidi w:val="0"/>
        <w:rPr>
          <w:rFonts w:hint="eastAsia"/>
          <w:color w:val="auto"/>
          <w:highlight w:val="none"/>
          <w:lang w:val="en-US" w:eastAsia="zh-CN"/>
        </w:rPr>
      </w:pPr>
      <w:r>
        <w:rPr>
          <w:rFonts w:hint="eastAsia"/>
          <w:color w:val="auto"/>
          <w:highlight w:val="none"/>
          <w:lang w:val="en-US" w:eastAsia="zh-CN"/>
        </w:rPr>
        <w:t>5.2.2贬值处理：由甲乙双方合议定价。</w:t>
      </w:r>
    </w:p>
    <w:p w14:paraId="0C7FD3C8">
      <w:pPr>
        <w:pStyle w:val="25"/>
        <w:bidi w:val="0"/>
        <w:rPr>
          <w:rFonts w:hint="eastAsia"/>
          <w:color w:val="auto"/>
          <w:highlight w:val="none"/>
          <w:lang w:val="en-US" w:eastAsia="zh-CN"/>
        </w:rPr>
      </w:pPr>
      <w:r>
        <w:rPr>
          <w:rFonts w:hint="eastAsia"/>
          <w:color w:val="auto"/>
          <w:highlight w:val="none"/>
          <w:lang w:val="en-US" w:eastAsia="zh-CN"/>
        </w:rPr>
        <w:t>5.2.3退货处理：乙方应退还甲方支付的合同款，同时应承担该货物的直接费用（运输、保险、检验、货款利息及银行手续费等）。</w:t>
      </w:r>
    </w:p>
    <w:p w14:paraId="55D2923F">
      <w:pPr>
        <w:pStyle w:val="25"/>
        <w:bidi w:val="0"/>
        <w:rPr>
          <w:rFonts w:hint="eastAsia"/>
          <w:color w:val="auto"/>
          <w:highlight w:val="none"/>
          <w:lang w:val="en-US" w:eastAsia="zh-CN"/>
        </w:rPr>
      </w:pPr>
      <w:r>
        <w:rPr>
          <w:rFonts w:hint="eastAsia"/>
          <w:color w:val="auto"/>
          <w:highlight w:val="none"/>
          <w:lang w:val="en-US" w:eastAsia="zh-CN"/>
        </w:rPr>
        <w:t>5.3在质保期内，乙方应对货物出现的质量及安全问题负责处理解决并承担一切费用。</w:t>
      </w:r>
    </w:p>
    <w:p w14:paraId="5F6073A1">
      <w:pPr>
        <w:pStyle w:val="25"/>
        <w:bidi w:val="0"/>
        <w:rPr>
          <w:rFonts w:hint="eastAsia"/>
          <w:color w:val="auto"/>
          <w:highlight w:val="none"/>
          <w:lang w:val="en-US" w:eastAsia="zh-CN"/>
        </w:rPr>
      </w:pPr>
      <w:r>
        <w:rPr>
          <w:rFonts w:hint="eastAsia"/>
          <w:color w:val="auto"/>
          <w:highlight w:val="none"/>
          <w:lang w:val="en-US" w:eastAsia="zh-CN"/>
        </w:rPr>
        <w:t>6.付款：本合同使用货币币制如未作特别说明均为人民币，按医院财务管理要求付款。</w:t>
      </w:r>
    </w:p>
    <w:p w14:paraId="0741F73C">
      <w:pPr>
        <w:pStyle w:val="25"/>
        <w:bidi w:val="0"/>
        <w:rPr>
          <w:rFonts w:hint="eastAsia"/>
          <w:color w:val="auto"/>
          <w:highlight w:val="none"/>
          <w:lang w:val="en-US" w:eastAsia="zh-CN"/>
        </w:rPr>
      </w:pPr>
      <w:r>
        <w:rPr>
          <w:rFonts w:hint="eastAsia"/>
          <w:color w:val="auto"/>
          <w:highlight w:val="none"/>
          <w:lang w:val="en-US" w:eastAsia="zh-CN"/>
        </w:rPr>
        <w:t>7.验收</w:t>
      </w:r>
    </w:p>
    <w:p w14:paraId="28D98268">
      <w:pPr>
        <w:pStyle w:val="25"/>
        <w:bidi w:val="0"/>
        <w:rPr>
          <w:rFonts w:hint="eastAsia"/>
          <w:color w:val="auto"/>
          <w:highlight w:val="none"/>
          <w:lang w:val="en-US" w:eastAsia="zh-CN"/>
        </w:rPr>
      </w:pPr>
      <w:r>
        <w:rPr>
          <w:rFonts w:hint="eastAsia"/>
          <w:color w:val="auto"/>
          <w:highlight w:val="none"/>
          <w:lang w:val="en-US" w:eastAsia="zh-CN"/>
        </w:rPr>
        <w:t>7.1供方应随货物提供合格证和质量证明文件，如是国外进口的货物还须提供入关证明。</w:t>
      </w:r>
    </w:p>
    <w:p w14:paraId="03A4EAF6">
      <w:pPr>
        <w:pStyle w:val="25"/>
        <w:bidi w:val="0"/>
        <w:rPr>
          <w:rFonts w:hint="eastAsia"/>
          <w:color w:val="auto"/>
          <w:highlight w:val="none"/>
          <w:lang w:val="en-US" w:eastAsia="zh-CN"/>
        </w:rPr>
      </w:pPr>
      <w:r>
        <w:rPr>
          <w:rFonts w:hint="eastAsia"/>
          <w:color w:val="auto"/>
          <w:highlight w:val="none"/>
          <w:lang w:val="en-US" w:eastAsia="zh-CN"/>
        </w:rPr>
        <w:t>7.2货物验收</w:t>
      </w:r>
    </w:p>
    <w:p w14:paraId="2C6045B4">
      <w:pPr>
        <w:pStyle w:val="25"/>
        <w:bidi w:val="0"/>
        <w:rPr>
          <w:rFonts w:hint="eastAsia"/>
          <w:color w:val="auto"/>
          <w:highlight w:val="none"/>
          <w:lang w:val="en-US" w:eastAsia="zh-CN"/>
        </w:rPr>
      </w:pPr>
      <w:r>
        <w:rPr>
          <w:rFonts w:hint="eastAsia"/>
          <w:color w:val="auto"/>
          <w:highlight w:val="none"/>
          <w:lang w:val="en-US" w:eastAsia="zh-CN"/>
        </w:rPr>
        <w:t>供方所交货物的各种质量指标不得低于供方投标时提供的“技术文件”执行，售后服务质量要求按照采购文件和响应文件的内容执行。供方交货时，需方可根据需要随机将一部分货物邀请第三方部门进行检测，如检测不合格，供方负责赔偿需方一切损失，无论检测是否合格，检测费用均由供应商承担。</w:t>
      </w:r>
    </w:p>
    <w:p w14:paraId="23AE32CC">
      <w:pPr>
        <w:pStyle w:val="25"/>
        <w:bidi w:val="0"/>
        <w:rPr>
          <w:rFonts w:hint="eastAsia"/>
          <w:color w:val="auto"/>
          <w:highlight w:val="none"/>
          <w:lang w:val="en-US" w:eastAsia="zh-CN"/>
        </w:rPr>
      </w:pPr>
      <w:r>
        <w:rPr>
          <w:rFonts w:hint="eastAsia"/>
          <w:color w:val="auto"/>
          <w:highlight w:val="none"/>
          <w:lang w:val="en-US" w:eastAsia="zh-CN"/>
        </w:rPr>
        <w:t>7.3货物验收报告应由需方、供方相关人员签字，并加盖双方公章，以此作为支付凭据。</w:t>
      </w:r>
    </w:p>
    <w:p w14:paraId="2C01701F">
      <w:pPr>
        <w:pStyle w:val="25"/>
        <w:bidi w:val="0"/>
        <w:rPr>
          <w:rFonts w:hint="eastAsia"/>
          <w:color w:val="auto"/>
          <w:highlight w:val="none"/>
          <w:lang w:val="en-US" w:eastAsia="zh-CN"/>
        </w:rPr>
      </w:pPr>
      <w:r>
        <w:rPr>
          <w:rFonts w:hint="eastAsia"/>
          <w:color w:val="auto"/>
          <w:highlight w:val="none"/>
          <w:lang w:val="en-US" w:eastAsia="zh-CN"/>
        </w:rPr>
        <w:t>8.索赔</w:t>
      </w:r>
    </w:p>
    <w:p w14:paraId="2D4C0715">
      <w:pPr>
        <w:pStyle w:val="25"/>
        <w:bidi w:val="0"/>
        <w:rPr>
          <w:rFonts w:hint="eastAsia"/>
          <w:color w:val="auto"/>
          <w:highlight w:val="none"/>
          <w:lang w:val="en-US" w:eastAsia="zh-CN"/>
        </w:rPr>
      </w:pPr>
      <w:r>
        <w:rPr>
          <w:rFonts w:hint="eastAsia"/>
          <w:color w:val="auto"/>
          <w:highlight w:val="none"/>
          <w:lang w:val="en-US" w:eastAsia="zh-CN"/>
        </w:rPr>
        <w:t>供方对货物与合同要求不符负有责任，并且需方已于规定交货内和质量保证期内提出索赔，供方应按需方同意的下述一种或多种方法解决索赔事宜。</w:t>
      </w:r>
    </w:p>
    <w:p w14:paraId="50DAFFE7">
      <w:pPr>
        <w:pStyle w:val="25"/>
        <w:bidi w:val="0"/>
        <w:rPr>
          <w:rFonts w:hint="eastAsia"/>
          <w:color w:val="auto"/>
          <w:highlight w:val="none"/>
          <w:lang w:val="en-US" w:eastAsia="zh-CN"/>
        </w:rPr>
      </w:pPr>
      <w:r>
        <w:rPr>
          <w:rFonts w:hint="eastAsia"/>
          <w:color w:val="auto"/>
          <w:highlight w:val="none"/>
          <w:lang w:val="en-US" w:eastAsia="zh-CN"/>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0D21A67A">
      <w:pPr>
        <w:pStyle w:val="25"/>
        <w:bidi w:val="0"/>
        <w:rPr>
          <w:rFonts w:hint="eastAsia"/>
          <w:color w:val="auto"/>
          <w:highlight w:val="none"/>
          <w:lang w:val="en-US" w:eastAsia="zh-CN"/>
        </w:rPr>
      </w:pPr>
      <w:r>
        <w:rPr>
          <w:rFonts w:hint="eastAsia"/>
          <w:color w:val="auto"/>
          <w:highlight w:val="none"/>
          <w:lang w:val="en-US" w:eastAsia="zh-CN"/>
        </w:rPr>
        <w:t>8.2根据货物的疵劣和受损程度以及需方遭受损失的金额，经双方同意降低货物价格。</w:t>
      </w:r>
    </w:p>
    <w:p w14:paraId="0FE5DD9F">
      <w:pPr>
        <w:pStyle w:val="25"/>
        <w:bidi w:val="0"/>
        <w:rPr>
          <w:rFonts w:hint="eastAsia"/>
          <w:color w:val="auto"/>
          <w:highlight w:val="none"/>
          <w:lang w:val="en-US" w:eastAsia="zh-CN"/>
        </w:rPr>
      </w:pPr>
      <w:r>
        <w:rPr>
          <w:rFonts w:hint="eastAsia"/>
          <w:color w:val="auto"/>
          <w:highlight w:val="none"/>
          <w:lang w:val="en-US" w:eastAsia="zh-CN"/>
        </w:rPr>
        <w:t>9.知识产权</w:t>
      </w:r>
    </w:p>
    <w:p w14:paraId="05468738">
      <w:pPr>
        <w:pStyle w:val="25"/>
        <w:bidi w:val="0"/>
        <w:rPr>
          <w:rFonts w:hint="eastAsia"/>
          <w:color w:val="auto"/>
          <w:highlight w:val="none"/>
          <w:lang w:val="en-US" w:eastAsia="zh-CN"/>
        </w:rPr>
      </w:pPr>
      <w:r>
        <w:rPr>
          <w:rFonts w:hint="eastAsia"/>
          <w:color w:val="auto"/>
          <w:highlight w:val="none"/>
          <w:lang w:val="en-US" w:eastAsia="zh-CN"/>
        </w:rPr>
        <w:t>甲方在中华人民共和国境内使用乙方提供的货物及服务时免受第三方提出的侵犯其专利权或其它知识产权的起诉。如果第三方提出侵权指控，乙方应承担由此而引起的一切法律责任和费用。</w:t>
      </w:r>
    </w:p>
    <w:p w14:paraId="4DD621F4">
      <w:pPr>
        <w:pStyle w:val="25"/>
        <w:bidi w:val="0"/>
        <w:rPr>
          <w:rFonts w:hint="eastAsia"/>
          <w:color w:val="auto"/>
          <w:highlight w:val="none"/>
          <w:lang w:val="en-US" w:eastAsia="zh-CN"/>
        </w:rPr>
      </w:pPr>
      <w:r>
        <w:rPr>
          <w:rFonts w:hint="eastAsia"/>
          <w:color w:val="auto"/>
          <w:highlight w:val="none"/>
          <w:lang w:val="en-US" w:eastAsia="zh-CN"/>
        </w:rPr>
        <w:t>10.合同争议的解决</w:t>
      </w:r>
    </w:p>
    <w:p w14:paraId="337C5A3E">
      <w:pPr>
        <w:pStyle w:val="25"/>
        <w:bidi w:val="0"/>
        <w:rPr>
          <w:rFonts w:hint="eastAsia"/>
          <w:color w:val="auto"/>
          <w:highlight w:val="none"/>
          <w:lang w:val="en-US" w:eastAsia="zh-CN"/>
        </w:rPr>
      </w:pPr>
      <w:r>
        <w:rPr>
          <w:rFonts w:hint="eastAsia"/>
          <w:color w:val="auto"/>
          <w:highlight w:val="none"/>
          <w:lang w:val="en-US" w:eastAsia="zh-CN"/>
        </w:rPr>
        <w:t>10.1当事人友好协商达成一致</w:t>
      </w:r>
    </w:p>
    <w:p w14:paraId="2AFF420F">
      <w:pPr>
        <w:pStyle w:val="25"/>
        <w:bidi w:val="0"/>
        <w:rPr>
          <w:rFonts w:hint="eastAsia"/>
          <w:color w:val="auto"/>
          <w:highlight w:val="none"/>
          <w:lang w:val="en-US" w:eastAsia="zh-CN"/>
        </w:rPr>
      </w:pPr>
      <w:r>
        <w:rPr>
          <w:rFonts w:hint="eastAsia"/>
          <w:color w:val="auto"/>
          <w:highlight w:val="none"/>
          <w:lang w:val="en-US" w:eastAsia="zh-CN"/>
        </w:rPr>
        <w:t>10.2在60天内当事人协商不能达成协议的，可向需方所在地人民法院提请诉讼。</w:t>
      </w:r>
    </w:p>
    <w:p w14:paraId="14134785">
      <w:pPr>
        <w:pStyle w:val="25"/>
        <w:bidi w:val="0"/>
        <w:rPr>
          <w:rFonts w:hint="eastAsia"/>
          <w:color w:val="auto"/>
          <w:highlight w:val="none"/>
          <w:lang w:val="en-US" w:eastAsia="zh-CN"/>
        </w:rPr>
      </w:pPr>
      <w:r>
        <w:rPr>
          <w:rFonts w:hint="eastAsia"/>
          <w:color w:val="auto"/>
          <w:highlight w:val="none"/>
          <w:lang w:val="en-US" w:eastAsia="zh-CN"/>
        </w:rPr>
        <w:t>11.违约责任</w:t>
      </w:r>
    </w:p>
    <w:p w14:paraId="0BF0CB87">
      <w:pPr>
        <w:pStyle w:val="25"/>
        <w:bidi w:val="0"/>
        <w:rPr>
          <w:rFonts w:hint="eastAsia"/>
          <w:color w:val="auto"/>
          <w:highlight w:val="none"/>
          <w:lang w:val="en-US" w:eastAsia="zh-CN"/>
        </w:rPr>
      </w:pPr>
      <w:r>
        <w:rPr>
          <w:rFonts w:hint="eastAsia"/>
          <w:color w:val="auto"/>
          <w:highlight w:val="none"/>
          <w:lang w:val="en-US" w:eastAsia="zh-CN"/>
        </w:rPr>
        <w:t>按《中华人民共和国民法典》、《中华人民共和国政府采购法》有关条款，或由供需双方约定。</w:t>
      </w:r>
    </w:p>
    <w:p w14:paraId="6FC9B110">
      <w:pPr>
        <w:pStyle w:val="25"/>
        <w:bidi w:val="0"/>
        <w:rPr>
          <w:rFonts w:hint="eastAsia"/>
          <w:color w:val="auto"/>
          <w:highlight w:val="none"/>
          <w:lang w:val="en-US" w:eastAsia="zh-CN"/>
        </w:rPr>
      </w:pPr>
      <w:r>
        <w:rPr>
          <w:rFonts w:hint="eastAsia"/>
          <w:color w:val="auto"/>
          <w:highlight w:val="none"/>
          <w:lang w:val="en-US" w:eastAsia="zh-CN"/>
        </w:rPr>
        <w:t>12.合同生效及其它</w:t>
      </w:r>
    </w:p>
    <w:p w14:paraId="21F8DBFE">
      <w:pPr>
        <w:pStyle w:val="25"/>
        <w:bidi w:val="0"/>
        <w:rPr>
          <w:rFonts w:hint="eastAsia"/>
          <w:color w:val="auto"/>
          <w:highlight w:val="none"/>
          <w:lang w:val="en-US" w:eastAsia="zh-CN"/>
        </w:rPr>
      </w:pPr>
      <w:r>
        <w:rPr>
          <w:rFonts w:hint="eastAsia"/>
          <w:color w:val="auto"/>
          <w:highlight w:val="none"/>
          <w:lang w:val="en-US" w:eastAsia="zh-CN"/>
        </w:rPr>
        <w:t>12.1合同生效及其效力应符合《中华人民共和国民法典》有关规定。</w:t>
      </w:r>
    </w:p>
    <w:p w14:paraId="1C08AF4E">
      <w:pPr>
        <w:pStyle w:val="25"/>
        <w:bidi w:val="0"/>
        <w:rPr>
          <w:rFonts w:hint="eastAsia"/>
          <w:color w:val="auto"/>
          <w:highlight w:val="none"/>
          <w:lang w:val="en-US" w:eastAsia="zh-CN"/>
        </w:rPr>
      </w:pPr>
      <w:r>
        <w:rPr>
          <w:rFonts w:hint="eastAsia"/>
          <w:color w:val="auto"/>
          <w:highlight w:val="none"/>
          <w:lang w:val="en-US" w:eastAsia="zh-CN"/>
        </w:rPr>
        <w:t>12.2合同应经当事人法定代表人或委托代理人签字，加盖双方合同专用章或公章。</w:t>
      </w:r>
    </w:p>
    <w:p w14:paraId="73E94EF3">
      <w:pPr>
        <w:pStyle w:val="25"/>
        <w:bidi w:val="0"/>
        <w:rPr>
          <w:rFonts w:hint="eastAsia"/>
          <w:color w:val="auto"/>
          <w:highlight w:val="none"/>
          <w:lang w:val="en-US" w:eastAsia="zh-CN"/>
        </w:rPr>
      </w:pPr>
      <w:r>
        <w:rPr>
          <w:rFonts w:hint="eastAsia"/>
          <w:color w:val="auto"/>
          <w:highlight w:val="none"/>
          <w:lang w:val="en-US" w:eastAsia="zh-CN"/>
        </w:rPr>
        <w:t>12.3合同所包括附件，是合同不可分割的一部分，具有同等法法律效力。</w:t>
      </w:r>
    </w:p>
    <w:p w14:paraId="12AD2237">
      <w:pPr>
        <w:pStyle w:val="25"/>
        <w:bidi w:val="0"/>
        <w:rPr>
          <w:rFonts w:hint="eastAsia"/>
          <w:color w:val="auto"/>
          <w:highlight w:val="none"/>
          <w:lang w:val="en-US" w:eastAsia="zh-CN"/>
        </w:rPr>
      </w:pPr>
      <w:r>
        <w:rPr>
          <w:rFonts w:hint="eastAsia"/>
          <w:color w:val="auto"/>
          <w:highlight w:val="none"/>
          <w:lang w:val="en-US" w:eastAsia="zh-CN"/>
        </w:rPr>
        <w:t>12.4本合同条件未尽事宜依照《中华人民共和国民法典》，由供需双方共同协商确定。</w:t>
      </w:r>
    </w:p>
    <w:p w14:paraId="3BE405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bidi="ar-SA"/>
        </w:rPr>
        <w:sectPr>
          <w:pgSz w:w="11907" w:h="16840"/>
          <w:pgMar w:top="1134" w:right="1191" w:bottom="1134" w:left="1304" w:header="964" w:footer="992" w:gutter="0"/>
          <w:pgNumType w:fmt="decimal"/>
          <w:cols w:space="720" w:num="1"/>
          <w:docGrid w:linePitch="312" w:charSpace="0"/>
        </w:sectPr>
      </w:pPr>
    </w:p>
    <w:p w14:paraId="2922CB92">
      <w:pPr>
        <w:pStyle w:val="26"/>
        <w:numPr>
          <w:ilvl w:val="0"/>
          <w:numId w:val="4"/>
        </w:numPr>
        <w:bidi w:val="0"/>
        <w:ind w:left="0" w:leftChars="0" w:firstLine="480" w:firstLineChars="200"/>
        <w:rPr>
          <w:rFonts w:hint="eastAsia"/>
          <w:color w:val="auto"/>
          <w:highlight w:val="none"/>
          <w:lang w:val="en-US" w:eastAsia="zh-CN"/>
        </w:rPr>
      </w:pPr>
      <w:bookmarkStart w:id="49" w:name="_Toc76373906"/>
      <w:bookmarkStart w:id="50" w:name="_Toc24401"/>
      <w:bookmarkStart w:id="51" w:name="_Toc19046"/>
      <w:bookmarkStart w:id="52" w:name="_Toc19419"/>
      <w:bookmarkStart w:id="53" w:name="_Toc277084871"/>
      <w:bookmarkStart w:id="54" w:name="_Toc285722713"/>
      <w:bookmarkStart w:id="55" w:name="_Toc18447"/>
      <w:bookmarkStart w:id="56" w:name="_Toc28766"/>
      <w:r>
        <w:rPr>
          <w:rFonts w:hint="eastAsia"/>
          <w:color w:val="auto"/>
          <w:highlight w:val="none"/>
          <w:lang w:val="en-US" w:eastAsia="zh-CN"/>
        </w:rPr>
        <w:t>采购合同（格式）</w:t>
      </w:r>
      <w:bookmarkEnd w:id="49"/>
      <w:bookmarkEnd w:id="50"/>
      <w:bookmarkEnd w:id="51"/>
      <w:bookmarkEnd w:id="52"/>
      <w:bookmarkEnd w:id="53"/>
      <w:bookmarkEnd w:id="54"/>
      <w:bookmarkEnd w:id="55"/>
      <w:bookmarkEnd w:id="56"/>
    </w:p>
    <w:p w14:paraId="19D313DC">
      <w:pPr>
        <w:spacing w:line="500" w:lineRule="exact"/>
        <w:jc w:val="center"/>
        <w:rPr>
          <w:rFonts w:hint="eastAsia" w:ascii="宋体" w:hAnsi="宋体" w:cs="宋体"/>
          <w:b/>
          <w:color w:val="auto"/>
          <w:sz w:val="44"/>
          <w:highlight w:val="none"/>
        </w:rPr>
      </w:pPr>
    </w:p>
    <w:p w14:paraId="39399867">
      <w:pPr>
        <w:pStyle w:val="27"/>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cs="Times New Roman"/>
          <w:color w:val="auto"/>
        </w:rPr>
      </w:pPr>
      <w:bookmarkStart w:id="57" w:name="_Toc106030904"/>
      <w:bookmarkStart w:id="58" w:name="_Toc76462348"/>
      <w:r>
        <w:rPr>
          <w:rFonts w:hint="default" w:ascii="Times New Roman" w:hAnsi="Times New Roman" w:cs="Times New Roman"/>
          <w:color w:val="auto"/>
        </w:rPr>
        <w:t>第六篇  采购合同</w:t>
      </w:r>
      <w:bookmarkEnd w:id="57"/>
      <w:bookmarkEnd w:id="58"/>
    </w:p>
    <w:p w14:paraId="7985D28F">
      <w:pPr>
        <w:pStyle w:val="25"/>
        <w:pageBreakBefore w:val="0"/>
        <w:widowControl w:val="0"/>
        <w:kinsoku/>
        <w:wordWrap/>
        <w:overflowPunct/>
        <w:topLinePunct w:val="0"/>
        <w:autoSpaceDE/>
        <w:autoSpaceDN/>
        <w:bidi w:val="0"/>
        <w:adjustRightInd/>
        <w:spacing w:line="400" w:lineRule="exact"/>
        <w:ind w:firstLine="2409" w:firstLineChars="1000"/>
        <w:jc w:val="both"/>
        <w:textAlignment w:val="auto"/>
        <w:rPr>
          <w:rFonts w:hint="eastAsia"/>
          <w:b/>
          <w:bCs/>
          <w:color w:val="auto"/>
          <w:highlight w:val="none"/>
          <w:lang w:val="en-US" w:eastAsia="zh-CN"/>
        </w:rPr>
      </w:pPr>
      <w:r>
        <w:rPr>
          <w:rFonts w:hint="eastAsia"/>
          <w:b/>
          <w:bCs/>
          <w:color w:val="auto"/>
          <w:highlight w:val="none"/>
          <w:lang w:val="en-US" w:eastAsia="zh-CN"/>
        </w:rPr>
        <w:t>合同具体内容由采购人与中标供应商协商</w:t>
      </w:r>
    </w:p>
    <w:p w14:paraId="55A8B94E">
      <w:pPr>
        <w:pStyle w:val="25"/>
        <w:pageBreakBefore w:val="0"/>
        <w:widowControl w:val="0"/>
        <w:kinsoku/>
        <w:wordWrap/>
        <w:overflowPunct/>
        <w:topLinePunct w:val="0"/>
        <w:autoSpaceDE/>
        <w:autoSpaceDN/>
        <w:bidi w:val="0"/>
        <w:adjustRightInd/>
        <w:spacing w:line="400" w:lineRule="exact"/>
        <w:ind w:left="0" w:leftChars="0" w:firstLine="0" w:firstLineChars="0"/>
        <w:jc w:val="both"/>
        <w:textAlignment w:val="auto"/>
        <w:rPr>
          <w:rFonts w:hint="eastAsia"/>
          <w:b/>
          <w:bCs/>
          <w:color w:val="auto"/>
          <w:lang w:val="en-US" w:eastAsia="zh-CN"/>
        </w:rPr>
      </w:pPr>
    </w:p>
    <w:p w14:paraId="797C7480">
      <w:pPr>
        <w:pStyle w:val="25"/>
        <w:bidi w:val="0"/>
        <w:rPr>
          <w:rFonts w:hint="eastAsia"/>
          <w:color w:val="auto"/>
        </w:rPr>
      </w:pPr>
      <w:r>
        <w:rPr>
          <w:rFonts w:hint="eastAsia"/>
          <w:color w:val="auto"/>
        </w:rPr>
        <w:t xml:space="preserve">项目编号:            </w:t>
      </w:r>
      <w:r>
        <w:rPr>
          <w:rFonts w:hint="eastAsia"/>
          <w:color w:val="auto"/>
          <w:lang w:val="en-US" w:eastAsia="zh-CN"/>
        </w:rPr>
        <w:t xml:space="preserve">          </w:t>
      </w:r>
      <w:r>
        <w:rPr>
          <w:rFonts w:hint="eastAsia"/>
          <w:color w:val="auto"/>
        </w:rPr>
        <w:t>合同号:</w:t>
      </w:r>
    </w:p>
    <w:p w14:paraId="0BD6E0B6">
      <w:pPr>
        <w:pStyle w:val="25"/>
        <w:bidi w:val="0"/>
        <w:rPr>
          <w:rFonts w:hint="eastAsia"/>
          <w:color w:val="auto"/>
        </w:rPr>
      </w:pPr>
      <w:r>
        <w:rPr>
          <w:rFonts w:hint="eastAsia"/>
          <w:color w:val="auto"/>
        </w:rPr>
        <w:t xml:space="preserve">甲方：   </w:t>
      </w:r>
      <w:r>
        <w:rPr>
          <w:rFonts w:hint="eastAsia"/>
          <w:color w:val="auto"/>
          <w:lang w:val="en-US" w:eastAsia="zh-CN"/>
        </w:rPr>
        <w:t xml:space="preserve"> </w:t>
      </w:r>
      <w:r>
        <w:rPr>
          <w:rFonts w:hint="eastAsia"/>
          <w:color w:val="auto"/>
        </w:rPr>
        <w:t>（以下简称需方）</w:t>
      </w:r>
    </w:p>
    <w:p w14:paraId="2A04551B">
      <w:pPr>
        <w:pStyle w:val="25"/>
        <w:bidi w:val="0"/>
        <w:rPr>
          <w:rFonts w:hint="eastAsia" w:ascii="方正仿宋_GBK" w:hAnsi="方正仿宋_GBK" w:eastAsia="方正仿宋_GBK" w:cs="方正仿宋_GBK"/>
          <w:color w:val="auto"/>
          <w:szCs w:val="28"/>
        </w:rPr>
      </w:pPr>
      <w:r>
        <w:rPr>
          <w:rFonts w:hint="eastAsia"/>
          <w:color w:val="auto"/>
        </w:rPr>
        <w:t>乙方：    （以下简称供方）</w:t>
      </w:r>
    </w:p>
    <w:p w14:paraId="3FC13F52">
      <w:pPr>
        <w:pStyle w:val="25"/>
        <w:bidi w:val="0"/>
        <w:rPr>
          <w:rFonts w:hint="eastAsia"/>
          <w:color w:val="auto"/>
        </w:rPr>
      </w:pPr>
      <w:r>
        <w:rPr>
          <w:rFonts w:hint="eastAsia"/>
          <w:color w:val="auto"/>
        </w:rPr>
        <w:t>根据招标程序和结果，经甲、乙双方友好协商，按照《中华人民共和国民法典》和有关法律法规的规定，就</w:t>
      </w:r>
      <w:r>
        <w:rPr>
          <w:rFonts w:hint="eastAsia"/>
          <w:color w:val="auto"/>
          <w:lang w:val="en-US" w:eastAsia="zh-CN"/>
        </w:rPr>
        <w:t xml:space="preserve">                </w:t>
      </w:r>
      <w:r>
        <w:rPr>
          <w:rFonts w:hint="eastAsia"/>
          <w:color w:val="auto"/>
        </w:rPr>
        <w:t>项目签订本合同，双方代表签字、盖章后生效，共同遵守以下条款：</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999"/>
        <w:gridCol w:w="986"/>
        <w:gridCol w:w="980"/>
        <w:gridCol w:w="863"/>
        <w:gridCol w:w="1398"/>
        <w:gridCol w:w="1438"/>
      </w:tblGrid>
      <w:tr w14:paraId="4C1B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4" w:type="dxa"/>
            <w:noWrap w:val="0"/>
            <w:vAlign w:val="center"/>
          </w:tcPr>
          <w:p w14:paraId="33FE7379">
            <w:pPr>
              <w:keepNext w:val="0"/>
              <w:keepLines w:val="0"/>
              <w:suppressLineNumbers w:val="0"/>
              <w:spacing w:before="0" w:beforeAutospacing="0" w:after="0" w:afterAutospacing="0" w:line="500" w:lineRule="exact"/>
              <w:ind w:left="0" w:right="0" w:firstLine="420" w:firstLineChars="200"/>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设备</w:t>
            </w:r>
            <w:r>
              <w:rPr>
                <w:rFonts w:hint="eastAsia" w:ascii="方正仿宋_GBK" w:hAnsi="方正仿宋_GBK" w:eastAsia="方正仿宋_GBK" w:cs="方正仿宋_GBK"/>
                <w:color w:val="auto"/>
                <w:sz w:val="21"/>
                <w:szCs w:val="21"/>
              </w:rPr>
              <w:t>名称</w:t>
            </w:r>
          </w:p>
        </w:tc>
        <w:tc>
          <w:tcPr>
            <w:tcW w:w="1999" w:type="dxa"/>
            <w:noWrap w:val="0"/>
            <w:vAlign w:val="center"/>
          </w:tcPr>
          <w:p w14:paraId="4B5240E3">
            <w:pPr>
              <w:keepNext w:val="0"/>
              <w:keepLines w:val="0"/>
              <w:suppressLineNumbers w:val="0"/>
              <w:spacing w:before="0" w:beforeAutospacing="0" w:after="0" w:afterAutospacing="0" w:line="500" w:lineRule="exact"/>
              <w:ind w:left="0" w:right="0"/>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服务具体内容</w:t>
            </w:r>
          </w:p>
        </w:tc>
        <w:tc>
          <w:tcPr>
            <w:tcW w:w="1966" w:type="dxa"/>
            <w:gridSpan w:val="2"/>
            <w:noWrap w:val="0"/>
            <w:vAlign w:val="center"/>
          </w:tcPr>
          <w:p w14:paraId="03A11CE7">
            <w:pPr>
              <w:keepNext w:val="0"/>
              <w:keepLines w:val="0"/>
              <w:suppressLineNumbers w:val="0"/>
              <w:spacing w:before="0" w:beforeAutospacing="0" w:after="0" w:afterAutospacing="0" w:line="500" w:lineRule="exact"/>
              <w:ind w:left="0" w:right="0" w:firstLine="420" w:firstLineChars="200"/>
              <w:jc w:val="left"/>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val="en-US" w:eastAsia="zh-CN"/>
              </w:rPr>
              <w:t>服务期限</w:t>
            </w:r>
          </w:p>
        </w:tc>
        <w:tc>
          <w:tcPr>
            <w:tcW w:w="863" w:type="dxa"/>
            <w:noWrap w:val="0"/>
            <w:vAlign w:val="center"/>
          </w:tcPr>
          <w:p w14:paraId="7A3960B2">
            <w:pPr>
              <w:keepNext w:val="0"/>
              <w:keepLines w:val="0"/>
              <w:suppressLineNumbers w:val="0"/>
              <w:spacing w:before="0" w:beforeAutospacing="0" w:after="0" w:afterAutospacing="0" w:line="500" w:lineRule="exact"/>
              <w:ind w:left="0" w:right="0"/>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单价</w:t>
            </w:r>
          </w:p>
        </w:tc>
        <w:tc>
          <w:tcPr>
            <w:tcW w:w="1398" w:type="dxa"/>
            <w:noWrap w:val="0"/>
            <w:vAlign w:val="center"/>
          </w:tcPr>
          <w:p w14:paraId="31A604F5">
            <w:pPr>
              <w:keepNext w:val="0"/>
              <w:keepLines w:val="0"/>
              <w:suppressLineNumbers w:val="0"/>
              <w:spacing w:before="0" w:beforeAutospacing="0" w:after="0" w:afterAutospacing="0" w:line="500" w:lineRule="exact"/>
              <w:ind w:left="0" w:right="0" w:firstLine="420" w:firstLineChars="200"/>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总价</w:t>
            </w:r>
          </w:p>
        </w:tc>
        <w:tc>
          <w:tcPr>
            <w:tcW w:w="1438" w:type="dxa"/>
            <w:noWrap w:val="0"/>
            <w:vAlign w:val="center"/>
          </w:tcPr>
          <w:p w14:paraId="786604AB">
            <w:pPr>
              <w:keepNext w:val="0"/>
              <w:keepLines w:val="0"/>
              <w:suppressLineNumbers w:val="0"/>
              <w:spacing w:before="0" w:beforeAutospacing="0" w:after="0" w:afterAutospacing="0" w:line="500" w:lineRule="exact"/>
              <w:ind w:left="0" w:right="0"/>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服务时间</w:t>
            </w:r>
          </w:p>
        </w:tc>
      </w:tr>
      <w:tr w14:paraId="6CD0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64" w:type="dxa"/>
            <w:noWrap w:val="0"/>
            <w:vAlign w:val="center"/>
          </w:tcPr>
          <w:p w14:paraId="0423C74C">
            <w:pPr>
              <w:keepNext w:val="0"/>
              <w:keepLines w:val="0"/>
              <w:suppressLineNumbers w:val="0"/>
              <w:spacing w:before="0" w:beforeAutospacing="0" w:after="0" w:afterAutospacing="0" w:line="500" w:lineRule="exact"/>
              <w:ind w:left="0" w:right="0"/>
              <w:jc w:val="center"/>
              <w:rPr>
                <w:rFonts w:hint="eastAsia" w:ascii="方正仿宋_GBK" w:hAnsi="方正仿宋_GBK" w:eastAsia="方正仿宋_GBK" w:cs="方正仿宋_GBK"/>
                <w:color w:val="auto"/>
                <w:sz w:val="21"/>
                <w:szCs w:val="21"/>
              </w:rPr>
            </w:pPr>
          </w:p>
        </w:tc>
        <w:tc>
          <w:tcPr>
            <w:tcW w:w="1999" w:type="dxa"/>
            <w:noWrap w:val="0"/>
            <w:vAlign w:val="center"/>
          </w:tcPr>
          <w:p w14:paraId="2A97F3B3">
            <w:pPr>
              <w:keepNext w:val="0"/>
              <w:keepLines w:val="0"/>
              <w:suppressLineNumbers w:val="0"/>
              <w:spacing w:before="0" w:beforeAutospacing="0" w:after="0" w:afterAutospacing="0" w:line="440" w:lineRule="exact"/>
              <w:ind w:left="0" w:right="0"/>
              <w:jc w:val="center"/>
              <w:rPr>
                <w:rFonts w:hint="eastAsia" w:ascii="方正仿宋_GBK" w:hAnsi="方正仿宋_GBK" w:eastAsia="方正仿宋_GBK" w:cs="方正仿宋_GBK"/>
                <w:color w:val="auto"/>
                <w:sz w:val="21"/>
                <w:szCs w:val="21"/>
              </w:rPr>
            </w:pPr>
          </w:p>
        </w:tc>
        <w:tc>
          <w:tcPr>
            <w:tcW w:w="1966" w:type="dxa"/>
            <w:gridSpan w:val="2"/>
            <w:noWrap w:val="0"/>
            <w:vAlign w:val="center"/>
          </w:tcPr>
          <w:p w14:paraId="2936A7EF">
            <w:pPr>
              <w:keepNext w:val="0"/>
              <w:keepLines w:val="0"/>
              <w:suppressLineNumbers w:val="0"/>
              <w:spacing w:before="0" w:beforeAutospacing="0" w:after="0" w:afterAutospacing="0" w:line="500" w:lineRule="exact"/>
              <w:ind w:left="0" w:right="0"/>
              <w:jc w:val="center"/>
              <w:rPr>
                <w:rFonts w:hint="eastAsia" w:ascii="方正仿宋_GBK" w:hAnsi="方正仿宋_GBK" w:eastAsia="方正仿宋_GBK" w:cs="方正仿宋_GBK"/>
                <w:color w:val="auto"/>
                <w:sz w:val="21"/>
                <w:szCs w:val="21"/>
              </w:rPr>
            </w:pPr>
          </w:p>
        </w:tc>
        <w:tc>
          <w:tcPr>
            <w:tcW w:w="863" w:type="dxa"/>
            <w:noWrap w:val="0"/>
            <w:vAlign w:val="center"/>
          </w:tcPr>
          <w:p w14:paraId="34E4C1A2">
            <w:pPr>
              <w:keepNext w:val="0"/>
              <w:keepLines w:val="0"/>
              <w:suppressLineNumbers w:val="0"/>
              <w:spacing w:before="0" w:beforeAutospacing="0" w:after="0" w:afterAutospacing="0" w:line="440" w:lineRule="exact"/>
              <w:ind w:left="0" w:right="0"/>
              <w:jc w:val="center"/>
              <w:rPr>
                <w:rFonts w:hint="eastAsia" w:ascii="方正仿宋_GBK" w:hAnsi="方正仿宋_GBK" w:eastAsia="方正仿宋_GBK" w:cs="方正仿宋_GBK"/>
                <w:color w:val="auto"/>
                <w:sz w:val="21"/>
                <w:szCs w:val="21"/>
              </w:rPr>
            </w:pPr>
          </w:p>
        </w:tc>
        <w:tc>
          <w:tcPr>
            <w:tcW w:w="1398" w:type="dxa"/>
            <w:noWrap w:val="0"/>
            <w:vAlign w:val="center"/>
          </w:tcPr>
          <w:p w14:paraId="3C5FE56B">
            <w:pPr>
              <w:keepNext w:val="0"/>
              <w:keepLines w:val="0"/>
              <w:suppressLineNumbers w:val="0"/>
              <w:spacing w:before="0" w:beforeAutospacing="0" w:after="0" w:afterAutospacing="0" w:line="440" w:lineRule="exact"/>
              <w:ind w:left="0" w:right="0"/>
              <w:jc w:val="center"/>
              <w:rPr>
                <w:rFonts w:hint="eastAsia" w:ascii="方正仿宋_GBK" w:hAnsi="方正仿宋_GBK" w:eastAsia="方正仿宋_GBK" w:cs="方正仿宋_GBK"/>
                <w:color w:val="auto"/>
                <w:sz w:val="21"/>
                <w:szCs w:val="21"/>
              </w:rPr>
            </w:pPr>
          </w:p>
        </w:tc>
        <w:tc>
          <w:tcPr>
            <w:tcW w:w="1438" w:type="dxa"/>
            <w:noWrap w:val="0"/>
            <w:vAlign w:val="center"/>
          </w:tcPr>
          <w:p w14:paraId="58AE412C">
            <w:pPr>
              <w:keepNext w:val="0"/>
              <w:keepLines w:val="0"/>
              <w:suppressLineNumbers w:val="0"/>
              <w:spacing w:before="0" w:beforeAutospacing="0" w:after="0" w:afterAutospacing="0" w:line="440" w:lineRule="exact"/>
              <w:ind w:left="0" w:right="0"/>
              <w:jc w:val="center"/>
              <w:rPr>
                <w:rFonts w:hint="eastAsia" w:ascii="方正仿宋_GBK" w:hAnsi="方正仿宋_GBK" w:eastAsia="方正仿宋_GBK" w:cs="方正仿宋_GBK"/>
                <w:color w:val="auto"/>
                <w:sz w:val="21"/>
                <w:szCs w:val="21"/>
              </w:rPr>
            </w:pPr>
          </w:p>
        </w:tc>
      </w:tr>
      <w:tr w14:paraId="3F61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628" w:type="dxa"/>
            <w:gridSpan w:val="7"/>
            <w:noWrap w:val="0"/>
            <w:vAlign w:val="center"/>
          </w:tcPr>
          <w:p w14:paraId="336EF4D7">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合计人民币（小写）：</w:t>
            </w:r>
          </w:p>
        </w:tc>
      </w:tr>
      <w:tr w14:paraId="5EF3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628" w:type="dxa"/>
            <w:gridSpan w:val="7"/>
            <w:noWrap w:val="0"/>
            <w:vAlign w:val="center"/>
          </w:tcPr>
          <w:p w14:paraId="6663B8C3">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合计人民币（大写）：</w:t>
            </w:r>
          </w:p>
        </w:tc>
      </w:tr>
      <w:tr w14:paraId="763E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628" w:type="dxa"/>
            <w:gridSpan w:val="7"/>
            <w:noWrap w:val="0"/>
            <w:vAlign w:val="center"/>
          </w:tcPr>
          <w:p w14:paraId="3D1E815B">
            <w:pPr>
              <w:pStyle w:val="12"/>
              <w:keepNext w:val="0"/>
              <w:keepLines w:val="0"/>
              <w:suppressLineNumbers w:val="0"/>
              <w:spacing w:before="0" w:beforeAutospacing="0" w:after="0" w:afterAutospacing="0" w:line="600" w:lineRule="exact"/>
              <w:ind w:left="0" w:right="0"/>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2"/>
                <w:sz w:val="21"/>
                <w:szCs w:val="21"/>
                <w:lang w:val="en-US" w:eastAsia="zh-CN" w:bidi="ar-SA"/>
              </w:rPr>
              <w:t>一、服务要求和质量保证：</w:t>
            </w:r>
          </w:p>
        </w:tc>
      </w:tr>
      <w:tr w14:paraId="2E14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628" w:type="dxa"/>
            <w:gridSpan w:val="7"/>
            <w:noWrap w:val="0"/>
            <w:vAlign w:val="center"/>
          </w:tcPr>
          <w:p w14:paraId="6C8638E2">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2"/>
                <w:sz w:val="21"/>
                <w:szCs w:val="21"/>
                <w:lang w:val="en-US" w:eastAsia="zh-CN" w:bidi="ar-SA"/>
              </w:rPr>
              <w:t>二、服务方式：</w:t>
            </w:r>
          </w:p>
        </w:tc>
      </w:tr>
      <w:tr w14:paraId="6F50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628" w:type="dxa"/>
            <w:gridSpan w:val="7"/>
            <w:noWrap w:val="0"/>
            <w:vAlign w:val="center"/>
          </w:tcPr>
          <w:p w14:paraId="6ADD10C2">
            <w:pPr>
              <w:keepNext w:val="0"/>
              <w:keepLines w:val="0"/>
              <w:suppressLineNumbers w:val="0"/>
              <w:snapToGrid w:val="0"/>
              <w:spacing w:before="0" w:beforeAutospacing="0" w:after="0" w:afterAutospacing="0" w:line="312" w:lineRule="auto"/>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2"/>
                <w:sz w:val="21"/>
                <w:szCs w:val="21"/>
                <w:lang w:val="en-US" w:eastAsia="zh-CN" w:bidi="ar-SA"/>
              </w:rPr>
              <w:t>三、验收标准、方法：</w:t>
            </w:r>
          </w:p>
        </w:tc>
      </w:tr>
      <w:tr w14:paraId="6D2F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628" w:type="dxa"/>
            <w:gridSpan w:val="7"/>
            <w:noWrap w:val="0"/>
            <w:vAlign w:val="center"/>
          </w:tcPr>
          <w:p w14:paraId="170967A3">
            <w:pPr>
              <w:keepNext w:val="0"/>
              <w:keepLines w:val="0"/>
              <w:suppressLineNumbers w:val="0"/>
              <w:spacing w:before="0" w:beforeAutospacing="0" w:after="0" w:afterAutospacing="0" w:line="6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2"/>
                <w:sz w:val="21"/>
                <w:szCs w:val="21"/>
                <w:lang w:val="en-US" w:eastAsia="zh-CN" w:bidi="ar-SA"/>
              </w:rPr>
              <w:t>四、付款方式：</w:t>
            </w:r>
          </w:p>
        </w:tc>
      </w:tr>
      <w:tr w14:paraId="4F0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628" w:type="dxa"/>
            <w:gridSpan w:val="7"/>
            <w:noWrap w:val="0"/>
            <w:vAlign w:val="center"/>
          </w:tcPr>
          <w:p w14:paraId="6A9C4939">
            <w:pPr>
              <w:keepNext w:val="0"/>
              <w:keepLines w:val="0"/>
              <w:suppressLineNumbers w:val="0"/>
              <w:snapToGrid w:val="0"/>
              <w:spacing w:before="0" w:beforeAutospacing="0" w:after="0" w:afterAutospacing="0" w:line="312" w:lineRule="auto"/>
              <w:ind w:left="0" w:right="0"/>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五、违约责任：</w:t>
            </w:r>
          </w:p>
          <w:p w14:paraId="45B21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2"/>
                <w:sz w:val="21"/>
                <w:szCs w:val="21"/>
                <w:lang w:val="en-US" w:eastAsia="zh-CN" w:bidi="ar-SA"/>
              </w:rPr>
              <w:t>按《民法典》、《政府采购法》执行，或按双方约定。（采购人应按项目实际情况完整填写）</w:t>
            </w:r>
          </w:p>
        </w:tc>
      </w:tr>
      <w:tr w14:paraId="71FA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628" w:type="dxa"/>
            <w:gridSpan w:val="7"/>
            <w:noWrap w:val="0"/>
            <w:vAlign w:val="center"/>
          </w:tcPr>
          <w:p w14:paraId="33FC2346">
            <w:pPr>
              <w:keepNext w:val="0"/>
              <w:keepLines w:val="0"/>
              <w:suppressLineNumbers w:val="0"/>
              <w:snapToGrid w:val="0"/>
              <w:spacing w:before="0" w:beforeAutospacing="0" w:after="0" w:afterAutospacing="0" w:line="312" w:lineRule="auto"/>
              <w:ind w:left="0" w:right="0"/>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六、其他约定事项：</w:t>
            </w:r>
          </w:p>
          <w:p w14:paraId="0C1518F1">
            <w:pPr>
              <w:keepNext w:val="0"/>
              <w:keepLines w:val="0"/>
              <w:suppressLineNumbers w:val="0"/>
              <w:snapToGrid w:val="0"/>
              <w:spacing w:before="0" w:beforeAutospacing="0" w:after="0" w:afterAutospacing="0" w:line="312" w:lineRule="auto"/>
              <w:ind w:left="0" w:right="0"/>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1.招标文件及其补遗文件、电子响应文件和承诺是本合同不可分割的部分。</w:t>
            </w:r>
          </w:p>
          <w:p w14:paraId="041680B6">
            <w:pPr>
              <w:keepNext w:val="0"/>
              <w:keepLines w:val="0"/>
              <w:suppressLineNumbers w:val="0"/>
              <w:snapToGrid w:val="0"/>
              <w:spacing w:before="0" w:beforeAutospacing="0" w:after="0" w:afterAutospacing="0" w:line="312" w:lineRule="auto"/>
              <w:ind w:left="0" w:right="0"/>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2.本合同如发生争议由双方协商解决，协商不成向需方所在人民法院提请诉讼。</w:t>
            </w:r>
          </w:p>
          <w:p w14:paraId="3D73E398">
            <w:pPr>
              <w:keepNext w:val="0"/>
              <w:keepLines w:val="0"/>
              <w:suppressLineNumbers w:val="0"/>
              <w:snapToGrid w:val="0"/>
              <w:spacing w:before="0" w:beforeAutospacing="0" w:after="0" w:afterAutospacing="0" w:line="312" w:lineRule="auto"/>
              <w:ind w:left="0" w:right="0"/>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3.本合同一式份，需方__份，供方__份，具备同等法律效力。</w:t>
            </w:r>
          </w:p>
          <w:p w14:paraId="4D360C56">
            <w:pPr>
              <w:keepNext w:val="0"/>
              <w:keepLines w:val="0"/>
              <w:suppressLineNumbers w:val="0"/>
              <w:snapToGrid w:val="0"/>
              <w:spacing w:before="0" w:beforeAutospacing="0" w:after="0" w:afterAutospacing="0" w:line="312" w:lineRule="auto"/>
              <w:ind w:left="0" w:right="0"/>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4.本合同有效期限为     年   月   日至     年   月   日。</w:t>
            </w:r>
          </w:p>
          <w:p w14:paraId="4C0C0FFD">
            <w:pPr>
              <w:keepNext w:val="0"/>
              <w:keepLines w:val="0"/>
              <w:suppressLineNumbers w:val="0"/>
              <w:snapToGrid w:val="0"/>
              <w:spacing w:before="0" w:beforeAutospacing="0" w:after="0" w:afterAutospacing="0" w:line="312" w:lineRule="auto"/>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2"/>
                <w:sz w:val="21"/>
                <w:szCs w:val="21"/>
                <w:lang w:val="en-US" w:eastAsia="zh-CN" w:bidi="ar-SA"/>
              </w:rPr>
              <w:t>5.其他：</w:t>
            </w:r>
          </w:p>
        </w:tc>
      </w:tr>
      <w:tr w14:paraId="6A3F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7" w:hRule="atLeast"/>
        </w:trPr>
        <w:tc>
          <w:tcPr>
            <w:tcW w:w="4949" w:type="dxa"/>
            <w:gridSpan w:val="3"/>
            <w:noWrap w:val="0"/>
            <w:vAlign w:val="top"/>
          </w:tcPr>
          <w:p w14:paraId="310F273D">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需方：</w:t>
            </w:r>
          </w:p>
          <w:p w14:paraId="213C059D">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xml:space="preserve">地址：                   </w:t>
            </w:r>
          </w:p>
          <w:p w14:paraId="07A7CB45">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联系电话：</w:t>
            </w:r>
          </w:p>
          <w:p w14:paraId="5AC79B7E">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法人代表：</w:t>
            </w:r>
          </w:p>
          <w:p w14:paraId="5A8AB082">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授权代表：</w:t>
            </w:r>
          </w:p>
          <w:p w14:paraId="4F75542C">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经办人：</w:t>
            </w:r>
          </w:p>
        </w:tc>
        <w:tc>
          <w:tcPr>
            <w:tcW w:w="4679" w:type="dxa"/>
            <w:gridSpan w:val="4"/>
            <w:noWrap w:val="0"/>
            <w:vAlign w:val="top"/>
          </w:tcPr>
          <w:p w14:paraId="058ACD57">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供方：</w:t>
            </w:r>
          </w:p>
          <w:p w14:paraId="2FC7ED54">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电话：</w:t>
            </w:r>
          </w:p>
          <w:p w14:paraId="77BED794">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传真：</w:t>
            </w:r>
          </w:p>
          <w:p w14:paraId="1BF5547E">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开户银行：</w:t>
            </w:r>
          </w:p>
          <w:p w14:paraId="79AE9C26">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账号：</w:t>
            </w:r>
          </w:p>
          <w:p w14:paraId="5C793C66">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法人代表：</w:t>
            </w:r>
          </w:p>
          <w:p w14:paraId="2F2EDC6F">
            <w:pPr>
              <w:keepNext w:val="0"/>
              <w:keepLines w:val="0"/>
              <w:suppressLineNumbers w:val="0"/>
              <w:spacing w:before="0" w:beforeAutospacing="0" w:after="0" w:afterAutospacing="0" w:line="500" w:lineRule="exact"/>
              <w:ind w:left="0" w:right="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授权代表：</w:t>
            </w:r>
          </w:p>
          <w:p w14:paraId="029FD9ED">
            <w:pPr>
              <w:keepNext w:val="0"/>
              <w:keepLines w:val="0"/>
              <w:widowControl/>
              <w:suppressLineNumbers w:val="0"/>
              <w:spacing w:before="0" w:beforeAutospacing="0" w:after="0" w:afterAutospacing="0" w:line="500" w:lineRule="exact"/>
              <w:ind w:left="0" w:right="0"/>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经办人：</w:t>
            </w:r>
          </w:p>
        </w:tc>
      </w:tr>
    </w:tbl>
    <w:p w14:paraId="0D612C94">
      <w:pPr>
        <w:pStyle w:val="25"/>
        <w:bidi w:val="0"/>
        <w:rPr>
          <w:rFonts w:hint="default"/>
          <w:color w:val="auto"/>
        </w:rPr>
        <w:sectPr>
          <w:footerReference r:id="rId7" w:type="default"/>
          <w:pgSz w:w="11907" w:h="16840"/>
          <w:pgMar w:top="1134" w:right="1191" w:bottom="1134" w:left="1304" w:header="851" w:footer="992" w:gutter="0"/>
          <w:pgNumType w:fmt="decimal"/>
          <w:cols w:space="720" w:num="1"/>
          <w:docGrid w:linePitch="380" w:charSpace="-5735"/>
        </w:sectPr>
      </w:pPr>
      <w:r>
        <w:rPr>
          <w:rFonts w:hint="eastAsia"/>
          <w:color w:val="auto"/>
        </w:rPr>
        <w:t>签约时间：20  年  月  日            签约地点：重庆</w:t>
      </w:r>
      <w:r>
        <w:rPr>
          <w:rFonts w:hint="eastAsia"/>
          <w:color w:val="auto"/>
          <w:lang w:val="en-US" w:eastAsia="zh-CN"/>
        </w:rPr>
        <w:tab/>
      </w:r>
    </w:p>
    <w:p w14:paraId="0E6E5E1A">
      <w:pPr>
        <w:pStyle w:val="3"/>
        <w:spacing w:before="0" w:after="0" w:line="360" w:lineRule="auto"/>
        <w:jc w:val="center"/>
        <w:rPr>
          <w:rFonts w:hint="default" w:ascii="Times New Roman" w:hAnsi="Times New Roman" w:eastAsia="方正小标宋_GBK" w:cs="Times New Roman"/>
          <w:b w:val="0"/>
          <w:color w:val="auto"/>
          <w:sz w:val="36"/>
          <w:szCs w:val="30"/>
        </w:rPr>
      </w:pPr>
      <w:bookmarkStart w:id="59" w:name="_Toc76462349"/>
      <w:bookmarkStart w:id="60" w:name="_Toc106030905"/>
      <w:r>
        <w:rPr>
          <w:rFonts w:hint="default" w:ascii="Times New Roman" w:hAnsi="Times New Roman" w:eastAsia="方正小标宋_GBK" w:cs="Times New Roman"/>
          <w:b w:val="0"/>
          <w:color w:val="auto"/>
          <w:sz w:val="36"/>
          <w:szCs w:val="30"/>
        </w:rPr>
        <w:t>第七篇  响应文件编制要求</w:t>
      </w:r>
      <w:bookmarkEnd w:id="59"/>
      <w:bookmarkEnd w:id="60"/>
    </w:p>
    <w:p w14:paraId="64927277">
      <w:pPr>
        <w:pStyle w:val="26"/>
        <w:numPr>
          <w:ilvl w:val="0"/>
          <w:numId w:val="5"/>
        </w:numPr>
        <w:bidi w:val="0"/>
        <w:ind w:left="0" w:leftChars="0" w:firstLine="559" w:firstLineChars="23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经济部分</w:t>
      </w:r>
    </w:p>
    <w:p w14:paraId="2D107A95">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（一）报价函</w:t>
      </w:r>
    </w:p>
    <w:p w14:paraId="2FDAEB54">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（二）医疗设备明细报价表</w:t>
      </w:r>
    </w:p>
    <w:p w14:paraId="1F858ACD">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三</w:t>
      </w:r>
      <w:r>
        <w:rPr>
          <w:rFonts w:hint="eastAsia" w:ascii="Times New Roman" w:hAnsi="Times New Roman" w:eastAsia="方正仿宋_GBK" w:cs="Times New Roman"/>
          <w:color w:val="auto"/>
          <w:sz w:val="24"/>
          <w:szCs w:val="24"/>
          <w:lang w:eastAsia="zh-CN"/>
        </w:rPr>
        <w:t>）试剂和耗材报价明细表</w:t>
      </w:r>
    </w:p>
    <w:p w14:paraId="6E40A4F9">
      <w:pPr>
        <w:pStyle w:val="26"/>
        <w:numPr>
          <w:ilvl w:val="0"/>
          <w:numId w:val="5"/>
        </w:numPr>
        <w:bidi w:val="0"/>
        <w:ind w:left="0" w:leftChars="0" w:firstLine="559" w:firstLineChars="233"/>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技术、</w:t>
      </w:r>
      <w:r>
        <w:rPr>
          <w:rFonts w:hint="default" w:ascii="Times New Roman" w:hAnsi="Times New Roman" w:cs="Times New Roman"/>
          <w:color w:val="auto"/>
          <w:highlight w:val="none"/>
          <w:lang w:val="en-US" w:eastAsia="zh-CN"/>
        </w:rPr>
        <w:t>服务部分</w:t>
      </w:r>
    </w:p>
    <w:p w14:paraId="58C3927C">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（一）</w:t>
      </w:r>
      <w:r>
        <w:rPr>
          <w:rFonts w:hint="eastAsia" w:ascii="Times New Roman" w:hAnsi="Times New Roman" w:eastAsia="方正仿宋_GBK" w:cs="Times New Roman"/>
          <w:color w:val="auto"/>
          <w:sz w:val="24"/>
          <w:szCs w:val="24"/>
          <w:lang w:val="en-US" w:eastAsia="zh-CN"/>
        </w:rPr>
        <w:t>技术、</w:t>
      </w:r>
      <w:r>
        <w:rPr>
          <w:rFonts w:hint="default" w:ascii="Times New Roman" w:hAnsi="Times New Roman" w:eastAsia="方正仿宋_GBK" w:cs="Times New Roman"/>
          <w:color w:val="auto"/>
          <w:sz w:val="24"/>
          <w:szCs w:val="24"/>
          <w:lang w:eastAsia="zh-CN"/>
        </w:rPr>
        <w:t>服务响应偏离表</w:t>
      </w:r>
    </w:p>
    <w:p w14:paraId="58A3AAE2">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（二）其他资料（格式自定）</w:t>
      </w:r>
    </w:p>
    <w:p w14:paraId="623B2E6E">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（三）</w:t>
      </w:r>
      <w:r>
        <w:rPr>
          <w:rFonts w:hint="default" w:ascii="Times New Roman" w:hAnsi="Times New Roman" w:eastAsia="方正仿宋_GBK" w:cs="Times New Roman"/>
          <w:color w:val="auto"/>
          <w:sz w:val="24"/>
          <w:szCs w:val="24"/>
          <w:lang w:val="en-US" w:eastAsia="zh-CN"/>
        </w:rPr>
        <w:t>供应商应答</w:t>
      </w:r>
      <w:r>
        <w:rPr>
          <w:rFonts w:hint="default" w:ascii="Times New Roman" w:hAnsi="Times New Roman" w:eastAsia="方正仿宋_GBK" w:cs="Times New Roman"/>
          <w:color w:val="auto"/>
          <w:sz w:val="24"/>
          <w:szCs w:val="24"/>
          <w:lang w:eastAsia="zh-CN"/>
        </w:rPr>
        <w:t>产品</w:t>
      </w:r>
      <w:r>
        <w:rPr>
          <w:rFonts w:hint="default" w:ascii="Times New Roman" w:hAnsi="Times New Roman" w:eastAsia="方正仿宋_GBK" w:cs="Times New Roman"/>
          <w:color w:val="auto"/>
          <w:sz w:val="24"/>
          <w:szCs w:val="24"/>
          <w:lang w:val="en-US" w:eastAsia="zh-CN"/>
        </w:rPr>
        <w:t>响应技术参数证明材料：</w:t>
      </w:r>
      <w:r>
        <w:rPr>
          <w:rFonts w:hint="default" w:ascii="Times New Roman" w:hAnsi="Times New Roman" w:eastAsia="方正仿宋_GBK" w:cs="Times New Roman"/>
          <w:color w:val="auto"/>
          <w:sz w:val="24"/>
          <w:szCs w:val="24"/>
          <w:lang w:eastAsia="zh-CN"/>
        </w:rPr>
        <w:t>（如果有）</w:t>
      </w:r>
    </w:p>
    <w:p w14:paraId="5653ABAF">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val="en-US" w:eastAsia="zh-CN"/>
        </w:rPr>
        <w:t>.技术白皮书；</w:t>
      </w:r>
    </w:p>
    <w:p w14:paraId="5C0424E9">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lang w:val="en-US" w:eastAsia="zh-CN"/>
        </w:rPr>
        <w:t>.应答产品使用说明书；</w:t>
      </w:r>
    </w:p>
    <w:p w14:paraId="1C9360BB">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以上资料若单一项能证明满足采购文件技术参数要求，则只提供该项资料即可，若需要多项资料共同证明产品满足采购文件技术参数要求，则需要提供对应项资料并做好标注。</w:t>
      </w:r>
    </w:p>
    <w:p w14:paraId="28632E3E">
      <w:pPr>
        <w:pStyle w:val="26"/>
        <w:numPr>
          <w:ilvl w:val="0"/>
          <w:numId w:val="5"/>
        </w:numPr>
        <w:bidi w:val="0"/>
        <w:ind w:left="0" w:leftChars="0" w:firstLine="559" w:firstLineChars="23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商务文件</w:t>
      </w:r>
    </w:p>
    <w:p w14:paraId="2C8860E2">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（一）商务响应偏离表</w:t>
      </w:r>
    </w:p>
    <w:p w14:paraId="750DC6D9">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（二）其它优惠服务承诺（格式自定）</w:t>
      </w:r>
    </w:p>
    <w:p w14:paraId="409723BB">
      <w:pPr>
        <w:pStyle w:val="26"/>
        <w:numPr>
          <w:ilvl w:val="0"/>
          <w:numId w:val="5"/>
        </w:numPr>
        <w:bidi w:val="0"/>
        <w:ind w:left="0" w:leftChars="0" w:firstLine="559" w:firstLineChars="23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资格条件及其他</w:t>
      </w:r>
    </w:p>
    <w:p w14:paraId="0F51E3A5">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（一）法人营业执照（副本）或事业单位法人证书（副本）或个体工商户营业执照或有效的自然人身份证明或社会团体法人登记证书复印件</w:t>
      </w:r>
    </w:p>
    <w:p w14:paraId="6750C63C">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（二）法定代表人身份证明书（格式）</w:t>
      </w:r>
    </w:p>
    <w:p w14:paraId="207678BE">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（三）法定代表人授权委托书（格式）</w:t>
      </w:r>
    </w:p>
    <w:p w14:paraId="632B23BA">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（四）基本资格条件承诺函（格式）</w:t>
      </w:r>
    </w:p>
    <w:p w14:paraId="2F971EE2">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（五）响应文件的声明函</w:t>
      </w:r>
    </w:p>
    <w:p w14:paraId="00EEC8E8">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（六）履行合同所必需的设备和专业技术能力承诺函</w:t>
      </w:r>
    </w:p>
    <w:p w14:paraId="28FD2720">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（七）承诺函</w:t>
      </w:r>
    </w:p>
    <w:p w14:paraId="472F06AA">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（八）特定资格条件证明文件</w:t>
      </w:r>
    </w:p>
    <w:p w14:paraId="75CFAD99">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1.供应商</w:t>
      </w:r>
      <w:r>
        <w:rPr>
          <w:rFonts w:hint="default" w:ascii="Times New Roman" w:hAnsi="Times New Roman" w:eastAsia="方正仿宋_GBK" w:cs="Times New Roman"/>
          <w:color w:val="auto"/>
          <w:sz w:val="24"/>
          <w:szCs w:val="24"/>
          <w:lang w:val="en-US" w:eastAsia="zh-CN"/>
        </w:rPr>
        <w:t>医疗器械经营许可证或备案凭证</w:t>
      </w:r>
    </w:p>
    <w:p w14:paraId="4ADF997C">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lang w:val="en-US" w:eastAsia="zh-CN"/>
        </w:rPr>
        <w:t>产品制造商的医疗器械生产许可证</w:t>
      </w:r>
    </w:p>
    <w:p w14:paraId="4BF8A8B2">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lang w:val="en-US" w:eastAsia="zh-CN"/>
        </w:rPr>
        <w:t>医疗设备的《医疗器械注册证（或备案证明材料）》</w:t>
      </w:r>
    </w:p>
    <w:p w14:paraId="544E3B3D">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lang w:val="en-US" w:eastAsia="zh-CN"/>
        </w:rPr>
        <w:t>试剂耗材的《医疗器械注册证（或备案证明材料）</w:t>
      </w:r>
    </w:p>
    <w:p w14:paraId="5CAE9867">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（九）其他证明材料</w:t>
      </w:r>
    </w:p>
    <w:p w14:paraId="346FD856">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lang w:val="en-US" w:eastAsia="zh-CN"/>
        </w:rPr>
        <w:sectPr>
          <w:pgSz w:w="11907" w:h="16840"/>
          <w:pgMar w:top="1134" w:right="1191" w:bottom="1134" w:left="1304" w:header="851" w:footer="992" w:gutter="0"/>
          <w:pgNumType w:fmt="decimal"/>
          <w:cols w:space="720" w:num="1"/>
          <w:docGrid w:linePitch="380" w:charSpace="-5735"/>
        </w:sectPr>
      </w:pPr>
    </w:p>
    <w:p w14:paraId="172606EC">
      <w:pPr>
        <w:pStyle w:val="26"/>
        <w:numPr>
          <w:ilvl w:val="0"/>
          <w:numId w:val="6"/>
        </w:numPr>
        <w:bidi w:val="0"/>
        <w:ind w:left="0" w:leftChars="0" w:firstLine="48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经济文件</w:t>
      </w:r>
    </w:p>
    <w:p w14:paraId="49953A40">
      <w:pPr>
        <w:pStyle w:val="25"/>
        <w:bidi w:val="0"/>
        <w:rPr>
          <w:rFonts w:hint="default" w:ascii="Times New Roman" w:hAnsi="Times New Roman" w:cs="Times New Roman"/>
          <w:color w:val="auto"/>
        </w:rPr>
      </w:pPr>
      <w:r>
        <w:rPr>
          <w:rFonts w:hint="default" w:ascii="Times New Roman" w:hAnsi="Times New Roman" w:cs="Times New Roman"/>
          <w:color w:val="auto"/>
        </w:rPr>
        <w:t>（一）</w:t>
      </w:r>
      <w:r>
        <w:rPr>
          <w:rFonts w:hint="eastAsia" w:ascii="Times New Roman" w:hAnsi="Times New Roman" w:cs="Times New Roman"/>
          <w:color w:val="auto"/>
          <w:lang w:val="en-US" w:eastAsia="zh-CN"/>
        </w:rPr>
        <w:t>投标</w:t>
      </w:r>
      <w:r>
        <w:rPr>
          <w:rFonts w:hint="default" w:ascii="Times New Roman" w:hAnsi="Times New Roman" w:cs="Times New Roman"/>
          <w:color w:val="auto"/>
        </w:rPr>
        <w:t>函</w:t>
      </w:r>
      <w:r>
        <w:rPr>
          <w:rFonts w:hint="default" w:ascii="Times New Roman" w:hAnsi="Times New Roman" w:cs="Times New Roman"/>
          <w:color w:val="auto"/>
          <w:highlight w:val="none"/>
        </w:rPr>
        <w:t>（格式）</w:t>
      </w:r>
    </w:p>
    <w:p w14:paraId="117A56BA">
      <w:pPr>
        <w:pStyle w:val="26"/>
        <w:numPr>
          <w:ilvl w:val="0"/>
          <w:numId w:val="0"/>
        </w:numPr>
        <w:bidi w:val="0"/>
        <w:ind w:leftChars="20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w:t>
      </w:r>
      <w:r>
        <w:rPr>
          <w:rFonts w:hint="default" w:ascii="Times New Roman" w:hAnsi="Times New Roman" w:cs="Times New Roman"/>
          <w:color w:val="auto"/>
          <w:highlight w:val="none"/>
          <w:lang w:val="en-US" w:eastAsia="zh-CN"/>
        </w:rPr>
        <w:t>函</w:t>
      </w:r>
    </w:p>
    <w:p w14:paraId="31D207AA">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p w14:paraId="17713D0F">
      <w:pPr>
        <w:pStyle w:val="25"/>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包号及名称</w:t>
      </w:r>
      <w:r>
        <w:rPr>
          <w:rFonts w:hint="default" w:ascii="Times New Roman" w:hAnsi="Times New Roman" w:cs="Times New Roman"/>
          <w:color w:val="auto"/>
          <w:highlight w:val="none"/>
          <w:lang w:eastAsia="zh-CN"/>
        </w:rPr>
        <w:t>：</w:t>
      </w:r>
    </w:p>
    <w:p w14:paraId="72F6F908">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致：</w:t>
      </w:r>
      <w:r>
        <w:rPr>
          <w:rFonts w:hint="default" w:ascii="Times New Roman" w:hAnsi="Times New Roman" w:cs="Times New Roman"/>
          <w:color w:val="auto"/>
          <w:highlight w:val="none"/>
          <w:u w:val="single"/>
        </w:rPr>
        <w:t xml:space="preserve">                    （</w:t>
      </w:r>
      <w:r>
        <w:rPr>
          <w:rFonts w:hint="default" w:ascii="Times New Roman" w:hAnsi="Times New Roman" w:eastAsia="方正仿宋_GBK" w:cs="Times New Roman"/>
          <w:color w:val="auto"/>
          <w:sz w:val="24"/>
          <w:szCs w:val="24"/>
          <w:highlight w:val="none"/>
          <w:u w:val="single"/>
        </w:rPr>
        <w:t>采购人</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rPr>
        <w:t>：</w:t>
      </w:r>
    </w:p>
    <w:p w14:paraId="4465F4AE">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供应商</w:t>
      </w:r>
      <w:r>
        <w:rPr>
          <w:rFonts w:hint="default" w:ascii="Times New Roman" w:hAnsi="Times New Roman" w:cs="Times New Roman"/>
          <w:color w:val="auto"/>
          <w:highlight w:val="none"/>
          <w:u w:val="single"/>
        </w:rPr>
        <w:t>名称）</w:t>
      </w:r>
      <w:r>
        <w:rPr>
          <w:rFonts w:hint="default" w:ascii="Times New Roman" w:hAnsi="Times New Roman" w:cs="Times New Roman"/>
          <w:color w:val="auto"/>
          <w:highlight w:val="none"/>
        </w:rPr>
        <w:t>系中华人民共和国合法企业，注册地址</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。我方就参加本</w:t>
      </w:r>
      <w:r>
        <w:rPr>
          <w:rFonts w:hint="default" w:ascii="Times New Roman" w:hAnsi="Times New Roman" w:cs="Times New Roman"/>
          <w:color w:val="auto"/>
        </w:rPr>
        <w:t>项目的</w:t>
      </w:r>
      <w:r>
        <w:rPr>
          <w:rFonts w:hint="default" w:ascii="Times New Roman" w:hAnsi="Times New Roman" w:cs="Times New Roman"/>
          <w:color w:val="auto"/>
          <w:lang w:eastAsia="zh-CN"/>
        </w:rPr>
        <w:t>比选</w:t>
      </w:r>
      <w:r>
        <w:rPr>
          <w:rFonts w:hint="default" w:ascii="Times New Roman" w:hAnsi="Times New Roman" w:cs="Times New Roman"/>
          <w:color w:val="auto"/>
          <w:highlight w:val="none"/>
        </w:rPr>
        <w:t>事项郑重声明如下：</w:t>
      </w:r>
    </w:p>
    <w:p w14:paraId="47219D76">
      <w:pPr>
        <w:pStyle w:val="25"/>
        <w:bidi w:val="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highlight w:val="none"/>
        </w:rPr>
        <w:t>我方完全理解并接受该项目</w:t>
      </w:r>
      <w:r>
        <w:rPr>
          <w:rFonts w:hint="eastAsia" w:ascii="Times New Roman" w:hAnsi="Times New Roman" w:cs="Times New Roman"/>
          <w:color w:val="auto"/>
          <w:highlight w:val="none"/>
          <w:lang w:val="en-US" w:eastAsia="zh-CN"/>
        </w:rPr>
        <w:t>比选</w:t>
      </w:r>
      <w:r>
        <w:rPr>
          <w:rFonts w:hint="default" w:ascii="Times New Roman" w:hAnsi="Times New Roman" w:cs="Times New Roman"/>
          <w:color w:val="auto"/>
          <w:highlight w:val="none"/>
          <w:lang w:eastAsia="zh-CN"/>
        </w:rPr>
        <w:t>文件</w:t>
      </w:r>
      <w:r>
        <w:rPr>
          <w:rFonts w:hint="default" w:ascii="Times New Roman" w:hAnsi="Times New Roman" w:cs="Times New Roman"/>
          <w:color w:val="auto"/>
          <w:highlight w:val="none"/>
        </w:rPr>
        <w:t>所有要求</w:t>
      </w:r>
      <w:r>
        <w:rPr>
          <w:rFonts w:hint="eastAsia" w:ascii="Times New Roman" w:hAnsi="Times New Roman" w:cs="Times New Roman"/>
          <w:color w:val="auto"/>
          <w:highlight w:val="none"/>
          <w:lang w:eastAsia="zh-CN"/>
        </w:rPr>
        <w:t>，</w:t>
      </w:r>
      <w:r>
        <w:rPr>
          <w:rFonts w:hint="default" w:ascii="Times New Roman" w:hAnsi="Times New Roman" w:cs="Times New Roman"/>
          <w:color w:val="auto"/>
        </w:rPr>
        <w:t>愿意按照</w:t>
      </w:r>
      <w:r>
        <w:rPr>
          <w:rFonts w:hint="default" w:ascii="Times New Roman" w:hAnsi="Times New Roman" w:cs="Times New Roman"/>
          <w:color w:val="auto"/>
          <w:lang w:eastAsia="zh-CN"/>
        </w:rPr>
        <w:t>公开比选</w:t>
      </w:r>
      <w:r>
        <w:rPr>
          <w:rFonts w:hint="default" w:ascii="Times New Roman" w:hAnsi="Times New Roman" w:cs="Times New Roman"/>
          <w:color w:val="auto"/>
        </w:rPr>
        <w:t>文件中的一切要求，提供本项目的</w:t>
      </w:r>
      <w:r>
        <w:rPr>
          <w:rFonts w:hint="eastAsia" w:ascii="Times New Roman" w:hAnsi="Times New Roman" w:cs="Times New Roman"/>
          <w:color w:val="auto"/>
          <w:lang w:val="en-US" w:eastAsia="zh-CN"/>
        </w:rPr>
        <w:t>技术</w:t>
      </w:r>
      <w:r>
        <w:rPr>
          <w:rFonts w:hint="default" w:ascii="Times New Roman" w:hAnsi="Times New Roman" w:cs="Times New Roman"/>
          <w:color w:val="auto"/>
          <w:highlight w:val="none"/>
        </w:rPr>
        <w:t>（质量）</w:t>
      </w:r>
      <w:r>
        <w:rPr>
          <w:rFonts w:hint="default" w:ascii="Times New Roman" w:hAnsi="Times New Roman" w:cs="Times New Roman"/>
          <w:color w:val="auto"/>
        </w:rPr>
        <w:t>服务。</w:t>
      </w:r>
    </w:p>
    <w:p w14:paraId="318632D1">
      <w:pPr>
        <w:pStyle w:val="25"/>
        <w:bidi w:val="0"/>
        <w:rPr>
          <w:rFonts w:hint="default" w:ascii="Times New Roman" w:hAnsi="Times New Roman" w:cs="Times New Roman"/>
          <w:color w:val="auto"/>
        </w:rPr>
      </w:pPr>
      <w:r>
        <w:rPr>
          <w:rFonts w:hint="default" w:ascii="Times New Roman" w:hAnsi="Times New Roman" w:cs="Times New Roman"/>
          <w:color w:val="auto"/>
        </w:rPr>
        <w:t>2.我方现提交的响应文件为：响应文件正本</w:t>
      </w:r>
      <w:r>
        <w:rPr>
          <w:rFonts w:hint="default" w:ascii="Times New Roman" w:hAnsi="Times New Roman" w:cs="Times New Roman"/>
          <w:color w:val="auto"/>
          <w:u w:val="single"/>
        </w:rPr>
        <w:t xml:space="preserve">   </w:t>
      </w:r>
      <w:r>
        <w:rPr>
          <w:rFonts w:hint="default" w:ascii="Times New Roman" w:hAnsi="Times New Roman" w:cs="Times New Roman"/>
          <w:color w:val="auto"/>
        </w:rPr>
        <w:t>份，副本</w:t>
      </w:r>
      <w:r>
        <w:rPr>
          <w:rFonts w:hint="default" w:ascii="Times New Roman" w:hAnsi="Times New Roman" w:cs="Times New Roman"/>
          <w:color w:val="auto"/>
          <w:u w:val="single"/>
        </w:rPr>
        <w:t xml:space="preserve">   </w:t>
      </w:r>
      <w:r>
        <w:rPr>
          <w:rFonts w:hint="default" w:ascii="Times New Roman" w:hAnsi="Times New Roman" w:cs="Times New Roman"/>
          <w:color w:val="auto"/>
        </w:rPr>
        <w:t>份。</w:t>
      </w:r>
    </w:p>
    <w:p w14:paraId="52BCAF22">
      <w:pPr>
        <w:pStyle w:val="25"/>
        <w:bidi w:val="0"/>
        <w:rPr>
          <w:rFonts w:hint="default" w:ascii="Times New Roman" w:hAnsi="Times New Roman" w:cs="Times New Roman"/>
          <w:color w:val="auto"/>
        </w:rPr>
      </w:pPr>
      <w:r>
        <w:rPr>
          <w:rFonts w:hint="default" w:ascii="Times New Roman" w:hAnsi="Times New Roman" w:cs="Times New Roman"/>
          <w:color w:val="auto"/>
        </w:rPr>
        <w:t>3.我方承诺：本次</w:t>
      </w:r>
      <w:r>
        <w:rPr>
          <w:rFonts w:hint="default" w:ascii="Times New Roman" w:hAnsi="Times New Roman" w:cs="Times New Roman"/>
          <w:color w:val="auto"/>
          <w:lang w:eastAsia="zh-CN"/>
        </w:rPr>
        <w:t>比选</w:t>
      </w:r>
      <w:r>
        <w:rPr>
          <w:rFonts w:hint="default" w:ascii="Times New Roman" w:hAnsi="Times New Roman" w:cs="Times New Roman"/>
          <w:color w:val="auto"/>
        </w:rPr>
        <w:t>的有效期为提交响应文件截止时间起90天。</w:t>
      </w:r>
    </w:p>
    <w:p w14:paraId="405FBB30">
      <w:pPr>
        <w:pStyle w:val="25"/>
        <w:bidi w:val="0"/>
        <w:rPr>
          <w:rFonts w:hint="default" w:ascii="Times New Roman" w:hAnsi="Times New Roman" w:cs="Times New Roman"/>
          <w:color w:val="auto"/>
        </w:rPr>
      </w:pPr>
      <w:r>
        <w:rPr>
          <w:rFonts w:hint="default" w:ascii="Times New Roman" w:hAnsi="Times New Roman" w:cs="Times New Roman"/>
          <w:color w:val="auto"/>
        </w:rPr>
        <w:t>4.我方完全理解和接受贵方</w:t>
      </w:r>
      <w:r>
        <w:rPr>
          <w:rFonts w:hint="default" w:ascii="Times New Roman" w:hAnsi="Times New Roman" w:cs="Times New Roman"/>
          <w:color w:val="auto"/>
          <w:lang w:eastAsia="zh-CN"/>
        </w:rPr>
        <w:t>公开比选</w:t>
      </w:r>
      <w:r>
        <w:rPr>
          <w:rFonts w:hint="default" w:ascii="Times New Roman" w:hAnsi="Times New Roman" w:cs="Times New Roman"/>
          <w:color w:val="auto"/>
        </w:rPr>
        <w:t>文件的一切规定和要求及评审办法</w:t>
      </w:r>
      <w:r>
        <w:rPr>
          <w:rFonts w:hint="eastAsia" w:ascii="Times New Roman" w:hAnsi="Times New Roman" w:cs="Times New Roman"/>
          <w:color w:val="auto"/>
          <w:lang w:eastAsia="zh-CN"/>
        </w:rPr>
        <w:t>，</w:t>
      </w:r>
      <w:r>
        <w:rPr>
          <w:rFonts w:hint="default" w:ascii="Times New Roman" w:hAnsi="Times New Roman" w:cs="Times New Roman"/>
          <w:color w:val="auto"/>
          <w:highlight w:val="none"/>
        </w:rPr>
        <w:t>提交的所有</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、资料都是准确和真实的，如有虚假或隐瞒，我方愿意承担一切法律责任。</w:t>
      </w:r>
      <w:r>
        <w:rPr>
          <w:rFonts w:hint="default" w:ascii="Times New Roman" w:hAnsi="Times New Roman" w:cs="Times New Roman"/>
          <w:color w:val="auto"/>
        </w:rPr>
        <w:t>。</w:t>
      </w:r>
    </w:p>
    <w:p w14:paraId="59C2620F">
      <w:pPr>
        <w:pStyle w:val="25"/>
        <w:bidi w:val="0"/>
        <w:rPr>
          <w:rFonts w:hint="default" w:ascii="Times New Roman" w:hAnsi="Times New Roman" w:cs="Times New Roman"/>
          <w:color w:val="auto"/>
        </w:rPr>
      </w:pPr>
      <w:r>
        <w:rPr>
          <w:rFonts w:hint="default" w:ascii="Times New Roman" w:hAnsi="Times New Roman" w:cs="Times New Roman"/>
          <w:color w:val="auto"/>
        </w:rPr>
        <w:t>5.在整个</w:t>
      </w:r>
      <w:r>
        <w:rPr>
          <w:rFonts w:hint="default" w:ascii="Times New Roman" w:hAnsi="Times New Roman" w:cs="Times New Roman"/>
          <w:color w:val="auto"/>
          <w:lang w:eastAsia="zh-CN"/>
        </w:rPr>
        <w:t>公开比选</w:t>
      </w:r>
      <w:r>
        <w:rPr>
          <w:rFonts w:hint="default" w:ascii="Times New Roman" w:hAnsi="Times New Roman" w:cs="Times New Roman"/>
          <w:color w:val="auto"/>
        </w:rPr>
        <w:t>过程中，我方若有违规行为，接受按照《中华人民共和国政府采购法》和《</w:t>
      </w:r>
      <w:r>
        <w:rPr>
          <w:rFonts w:hint="default" w:ascii="Times New Roman" w:hAnsi="Times New Roman" w:cs="Times New Roman"/>
          <w:color w:val="auto"/>
          <w:lang w:eastAsia="zh-CN"/>
        </w:rPr>
        <w:t>公开比选</w:t>
      </w:r>
      <w:r>
        <w:rPr>
          <w:rFonts w:hint="default" w:ascii="Times New Roman" w:hAnsi="Times New Roman" w:cs="Times New Roman"/>
          <w:color w:val="auto"/>
        </w:rPr>
        <w:t>文件》之规定给予惩罚。</w:t>
      </w:r>
    </w:p>
    <w:p w14:paraId="708C9A20">
      <w:pPr>
        <w:pStyle w:val="25"/>
        <w:bidi w:val="0"/>
        <w:rPr>
          <w:rFonts w:hint="default" w:ascii="Times New Roman" w:hAnsi="Times New Roman" w:cs="Times New Roman"/>
          <w:color w:val="auto"/>
        </w:rPr>
      </w:pPr>
      <w:r>
        <w:rPr>
          <w:rFonts w:hint="default" w:ascii="Times New Roman" w:hAnsi="Times New Roman" w:cs="Times New Roman"/>
          <w:color w:val="auto"/>
        </w:rPr>
        <w:t>6.我方若成为成交供应商，将按照最终</w:t>
      </w:r>
      <w:r>
        <w:rPr>
          <w:rFonts w:hint="default" w:ascii="Times New Roman" w:hAnsi="Times New Roman" w:cs="Times New Roman"/>
          <w:color w:val="auto"/>
          <w:lang w:eastAsia="zh-CN"/>
        </w:rPr>
        <w:t>比选</w:t>
      </w:r>
      <w:r>
        <w:rPr>
          <w:rFonts w:hint="default" w:ascii="Times New Roman" w:hAnsi="Times New Roman" w:cs="Times New Roman"/>
          <w:color w:val="auto"/>
        </w:rPr>
        <w:t>结果签订合同，并且严格履行</w:t>
      </w:r>
      <w:r>
        <w:rPr>
          <w:rFonts w:hint="eastAsia" w:ascii="Times New Roman" w:hAnsi="Times New Roman" w:cs="Times New Roman"/>
          <w:color w:val="auto"/>
          <w:lang w:val="en-US" w:eastAsia="zh-CN"/>
        </w:rPr>
        <w:t>采购文件的各项要求和</w:t>
      </w:r>
      <w:r>
        <w:rPr>
          <w:rFonts w:hint="default" w:ascii="Times New Roman" w:hAnsi="Times New Roman" w:cs="Times New Roman"/>
          <w:color w:val="auto"/>
        </w:rPr>
        <w:t>合同义务。本承诺将成为合同不可分割的一部分，与合同具有同等的法律效力。</w:t>
      </w:r>
    </w:p>
    <w:p w14:paraId="350A87E4">
      <w:pPr>
        <w:pStyle w:val="25"/>
        <w:bidi w:val="0"/>
        <w:rPr>
          <w:rFonts w:hint="default" w:ascii="Times New Roman" w:hAnsi="Times New Roman" w:cs="Times New Roman"/>
          <w:color w:val="auto"/>
        </w:rPr>
      </w:pPr>
      <w:r>
        <w:rPr>
          <w:rFonts w:hint="default" w:ascii="Times New Roman" w:hAnsi="Times New Roman" w:cs="Times New Roman"/>
          <w:color w:val="auto"/>
          <w:lang w:val="en-US" w:eastAsia="zh-CN"/>
        </w:rPr>
        <w:t>7</w:t>
      </w:r>
      <w:r>
        <w:rPr>
          <w:rFonts w:hint="default" w:ascii="Times New Roman" w:hAnsi="Times New Roman" w:cs="Times New Roman"/>
          <w:color w:val="auto"/>
        </w:rPr>
        <w:t>.我方未为采购项目提供整体设计、规范编制或者项目管理、监理、检测等服务。</w:t>
      </w:r>
    </w:p>
    <w:p w14:paraId="4326FD60">
      <w:pPr>
        <w:pStyle w:val="25"/>
        <w:bidi w:val="0"/>
        <w:rPr>
          <w:rFonts w:hint="eastAsia" w:ascii="Times New Roman" w:hAnsi="Times New Roman" w:eastAsia="方正仿宋_GBK" w:cs="Times New Roman"/>
          <w:color w:val="auto"/>
          <w:lang w:val="en-US" w:eastAsia="zh-CN"/>
        </w:rPr>
      </w:pPr>
      <w:r>
        <w:rPr>
          <w:rFonts w:hint="eastAsia" w:ascii="Times New Roman" w:hAnsi="Times New Roman" w:cs="Times New Roman"/>
          <w:color w:val="auto"/>
          <w:lang w:val="en-US" w:eastAsia="zh-CN"/>
        </w:rPr>
        <w:t>8.</w:t>
      </w:r>
      <w:r>
        <w:rPr>
          <w:rFonts w:hint="default" w:ascii="Times New Roman" w:hAnsi="Times New Roman" w:cs="Times New Roman"/>
          <w:color w:val="auto"/>
          <w:highlight w:val="none"/>
        </w:rPr>
        <w:t>我方理解，最低报价不是中标的唯一条件。我方投标报价为闭口价。即在投标有效期和合同有效期内，该报价固定不变。</w:t>
      </w:r>
    </w:p>
    <w:p w14:paraId="0CE2C597">
      <w:pPr>
        <w:pStyle w:val="25"/>
        <w:bidi w:val="0"/>
        <w:rPr>
          <w:rFonts w:hint="default" w:ascii="Times New Roman" w:hAnsi="Times New Roman" w:cs="Times New Roman"/>
          <w:color w:val="auto"/>
        </w:rPr>
      </w:pPr>
    </w:p>
    <w:p w14:paraId="2A725BCC">
      <w:pPr>
        <w:pStyle w:val="25"/>
        <w:bidi w:val="0"/>
        <w:ind w:firstLine="4560" w:firstLineChars="1900"/>
        <w:rPr>
          <w:rFonts w:hint="default" w:ascii="Times New Roman" w:hAnsi="Times New Roman" w:cs="Times New Roman"/>
          <w:color w:val="auto"/>
        </w:rPr>
      </w:pPr>
      <w:r>
        <w:rPr>
          <w:rFonts w:hint="default" w:ascii="Times New Roman" w:hAnsi="Times New Roman" w:cs="Times New Roman"/>
          <w:color w:val="auto"/>
        </w:rPr>
        <w:t>供应商（公章）或自然人签署：</w:t>
      </w:r>
    </w:p>
    <w:p w14:paraId="4A30D472">
      <w:pPr>
        <w:pStyle w:val="25"/>
        <w:bidi w:val="0"/>
        <w:ind w:firstLine="4560" w:firstLineChars="1900"/>
        <w:rPr>
          <w:rFonts w:hint="default" w:ascii="Times New Roman" w:hAnsi="Times New Roman" w:cs="Times New Roman"/>
          <w:color w:val="auto"/>
        </w:rPr>
      </w:pPr>
      <w:r>
        <w:rPr>
          <w:rFonts w:hint="default" w:ascii="Times New Roman" w:hAnsi="Times New Roman" w:cs="Times New Roman"/>
          <w:color w:val="auto"/>
        </w:rPr>
        <w:t xml:space="preserve">地址：  </w:t>
      </w:r>
    </w:p>
    <w:p w14:paraId="7F9DAAA5">
      <w:pPr>
        <w:pStyle w:val="25"/>
        <w:bidi w:val="0"/>
        <w:ind w:firstLine="4560" w:firstLineChars="1900"/>
        <w:rPr>
          <w:rFonts w:hint="default" w:ascii="Times New Roman" w:hAnsi="Times New Roman" w:cs="Times New Roman"/>
          <w:color w:val="auto"/>
        </w:rPr>
      </w:pPr>
      <w:r>
        <w:rPr>
          <w:rFonts w:hint="default" w:ascii="Times New Roman" w:hAnsi="Times New Roman" w:cs="Times New Roman"/>
          <w:color w:val="auto"/>
        </w:rPr>
        <w:t xml:space="preserve">电话：                                             </w:t>
      </w:r>
    </w:p>
    <w:p w14:paraId="1B864EC4">
      <w:pPr>
        <w:pStyle w:val="25"/>
        <w:bidi w:val="0"/>
        <w:ind w:firstLine="4560" w:firstLineChars="1900"/>
        <w:rPr>
          <w:rFonts w:hint="default" w:ascii="Times New Roman" w:hAnsi="Times New Roman" w:cs="Times New Roman"/>
          <w:color w:val="auto"/>
        </w:rPr>
      </w:pPr>
      <w:r>
        <w:rPr>
          <w:rFonts w:hint="default" w:ascii="Times New Roman" w:hAnsi="Times New Roman" w:cs="Times New Roman"/>
          <w:color w:val="auto"/>
        </w:rPr>
        <w:t>联系人：</w:t>
      </w:r>
    </w:p>
    <w:p w14:paraId="6A0B6475">
      <w:pPr>
        <w:pStyle w:val="25"/>
        <w:bidi w:val="0"/>
        <w:rPr>
          <w:rFonts w:hint="default" w:ascii="Times New Roman" w:hAnsi="Times New Roman" w:cs="Times New Roman"/>
          <w:color w:val="auto"/>
        </w:rPr>
      </w:pPr>
      <w:r>
        <w:rPr>
          <w:rFonts w:hint="default" w:ascii="Times New Roman" w:hAnsi="Times New Roman" w:cs="Times New Roman"/>
          <w:color w:val="auto"/>
        </w:rPr>
        <w:t xml:space="preserve">                                                  年   月   日</w:t>
      </w:r>
    </w:p>
    <w:p w14:paraId="4577C379">
      <w:pPr>
        <w:pStyle w:val="25"/>
        <w:bidi w:val="0"/>
        <w:rPr>
          <w:rFonts w:hint="default" w:ascii="Times New Roman" w:hAnsi="Times New Roman" w:cs="Times New Roman"/>
          <w:color w:val="auto"/>
        </w:rPr>
      </w:pPr>
    </w:p>
    <w:p w14:paraId="240892D5">
      <w:pPr>
        <w:pStyle w:val="25"/>
        <w:bidi w:val="0"/>
        <w:rPr>
          <w:rFonts w:hint="default" w:ascii="Times New Roman" w:hAnsi="Times New Roman" w:cs="Times New Roman"/>
          <w:color w:val="auto"/>
        </w:rPr>
        <w:sectPr>
          <w:pgSz w:w="11907" w:h="16840"/>
          <w:pgMar w:top="1134" w:right="1191" w:bottom="1134" w:left="1304" w:header="851" w:footer="992" w:gutter="0"/>
          <w:pgNumType w:fmt="decimal"/>
          <w:cols w:space="720" w:num="1"/>
          <w:docGrid w:linePitch="380" w:charSpace="-5735"/>
        </w:sectPr>
      </w:pPr>
    </w:p>
    <w:p w14:paraId="4CBA8D0A">
      <w:pPr>
        <w:tabs>
          <w:tab w:val="left" w:pos="2895"/>
        </w:tabs>
        <w:spacing w:line="400" w:lineRule="exact"/>
        <w:ind w:firstLine="480" w:firstLineChars="200"/>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（二）医疗设备明细报价表</w:t>
      </w:r>
    </w:p>
    <w:p w14:paraId="5A35E909">
      <w:pPr>
        <w:pStyle w:val="25"/>
        <w:bidi w:val="0"/>
        <w:rPr>
          <w:rFonts w:hint="eastAsia"/>
          <w:color w:val="auto"/>
        </w:rPr>
      </w:pPr>
      <w:r>
        <w:rPr>
          <w:rFonts w:hint="eastAsia"/>
          <w:color w:val="auto"/>
        </w:rPr>
        <w:t>项目名称：</w:t>
      </w:r>
    </w:p>
    <w:p w14:paraId="558D441B">
      <w:pPr>
        <w:pStyle w:val="25"/>
        <w:bidi w:val="0"/>
        <w:rPr>
          <w:rFonts w:hint="eastAsia" w:eastAsia="方正仿宋_GBK"/>
          <w:color w:val="auto"/>
          <w:lang w:eastAsia="zh-CN"/>
        </w:rPr>
      </w:pPr>
      <w:r>
        <w:rPr>
          <w:rFonts w:hint="eastAsia"/>
          <w:color w:val="auto"/>
        </w:rPr>
        <w:t>分包号及名称</w:t>
      </w:r>
      <w:r>
        <w:rPr>
          <w:rFonts w:hint="eastAsia"/>
          <w:color w:val="auto"/>
          <w:lang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3390"/>
        <w:gridCol w:w="825"/>
        <w:gridCol w:w="3093"/>
      </w:tblGrid>
      <w:tr w14:paraId="5DB7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2320" w:type="dxa"/>
            <w:noWrap w:val="0"/>
            <w:vAlign w:val="center"/>
          </w:tcPr>
          <w:p w14:paraId="5A7FDE86">
            <w:pPr>
              <w:pStyle w:val="25"/>
              <w:bidi w:val="0"/>
              <w:spacing w:line="240" w:lineRule="auto"/>
              <w:ind w:left="0" w:leftChars="0" w:firstLine="0" w:firstLineChars="0"/>
              <w:jc w:val="center"/>
              <w:rPr>
                <w:rFonts w:hint="eastAsia"/>
                <w:color w:val="auto"/>
                <w:sz w:val="21"/>
                <w:szCs w:val="21"/>
              </w:rPr>
            </w:pPr>
            <w:r>
              <w:rPr>
                <w:rFonts w:hint="eastAsia"/>
                <w:color w:val="auto"/>
                <w:sz w:val="21"/>
                <w:szCs w:val="21"/>
                <w:lang w:eastAsia="zh-CN"/>
              </w:rPr>
              <w:t>供应商</w:t>
            </w:r>
            <w:r>
              <w:rPr>
                <w:rFonts w:hint="eastAsia"/>
                <w:color w:val="auto"/>
                <w:sz w:val="21"/>
                <w:szCs w:val="21"/>
              </w:rPr>
              <w:t>名称</w:t>
            </w:r>
          </w:p>
        </w:tc>
        <w:tc>
          <w:tcPr>
            <w:tcW w:w="7308" w:type="dxa"/>
            <w:gridSpan w:val="3"/>
            <w:noWrap w:val="0"/>
            <w:vAlign w:val="center"/>
          </w:tcPr>
          <w:p w14:paraId="7A2785D1">
            <w:pPr>
              <w:pStyle w:val="25"/>
              <w:bidi w:val="0"/>
              <w:spacing w:line="240" w:lineRule="auto"/>
              <w:ind w:left="0" w:leftChars="0" w:firstLine="0" w:firstLineChars="0"/>
              <w:jc w:val="center"/>
              <w:rPr>
                <w:rFonts w:hint="eastAsia"/>
                <w:color w:val="auto"/>
                <w:sz w:val="21"/>
                <w:szCs w:val="21"/>
              </w:rPr>
            </w:pPr>
          </w:p>
        </w:tc>
      </w:tr>
      <w:tr w14:paraId="64E2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320" w:type="dxa"/>
            <w:noWrap w:val="0"/>
            <w:vAlign w:val="center"/>
          </w:tcPr>
          <w:p w14:paraId="1D636200">
            <w:pPr>
              <w:pStyle w:val="25"/>
              <w:bidi w:val="0"/>
              <w:spacing w:line="240" w:lineRule="auto"/>
              <w:ind w:left="0" w:leftChars="0" w:firstLine="0" w:firstLineChars="0"/>
              <w:jc w:val="center"/>
              <w:rPr>
                <w:rFonts w:hint="eastAsia"/>
                <w:color w:val="auto"/>
                <w:sz w:val="21"/>
                <w:szCs w:val="21"/>
              </w:rPr>
            </w:pPr>
            <w:r>
              <w:rPr>
                <w:rFonts w:hint="eastAsia"/>
                <w:color w:val="auto"/>
                <w:sz w:val="21"/>
                <w:szCs w:val="21"/>
                <w:lang w:eastAsia="zh-CN"/>
              </w:rPr>
              <w:t>单价</w:t>
            </w:r>
            <w:r>
              <w:rPr>
                <w:rFonts w:hint="eastAsia"/>
                <w:color w:val="auto"/>
                <w:sz w:val="21"/>
                <w:szCs w:val="21"/>
              </w:rPr>
              <w:t>报价</w:t>
            </w:r>
            <w:r>
              <w:rPr>
                <w:rFonts w:hint="eastAsia"/>
                <w:color w:val="auto"/>
                <w:sz w:val="21"/>
                <w:szCs w:val="21"/>
                <w:lang w:eastAsia="zh-CN"/>
              </w:rPr>
              <w:t>（元）</w:t>
            </w:r>
            <w:r>
              <w:rPr>
                <w:rFonts w:hint="eastAsia"/>
                <w:color w:val="auto"/>
                <w:sz w:val="21"/>
                <w:szCs w:val="21"/>
              </w:rPr>
              <w:t>（小写）</w:t>
            </w:r>
          </w:p>
        </w:tc>
        <w:tc>
          <w:tcPr>
            <w:tcW w:w="3390" w:type="dxa"/>
            <w:noWrap w:val="0"/>
            <w:vAlign w:val="center"/>
          </w:tcPr>
          <w:p w14:paraId="250B81D8">
            <w:pPr>
              <w:pStyle w:val="25"/>
              <w:bidi w:val="0"/>
              <w:spacing w:line="240" w:lineRule="auto"/>
              <w:ind w:left="0" w:leftChars="0" w:firstLine="0" w:firstLineChars="0"/>
              <w:jc w:val="center"/>
              <w:rPr>
                <w:rFonts w:hint="eastAsia"/>
                <w:color w:val="auto"/>
                <w:sz w:val="21"/>
                <w:szCs w:val="21"/>
              </w:rPr>
            </w:pPr>
          </w:p>
        </w:tc>
        <w:tc>
          <w:tcPr>
            <w:tcW w:w="825" w:type="dxa"/>
            <w:noWrap w:val="0"/>
            <w:vAlign w:val="center"/>
          </w:tcPr>
          <w:p w14:paraId="57B219C1">
            <w:pPr>
              <w:pStyle w:val="25"/>
              <w:bidi w:val="0"/>
              <w:spacing w:line="240" w:lineRule="auto"/>
              <w:ind w:left="0" w:leftChars="0" w:firstLine="0" w:firstLineChars="0"/>
              <w:jc w:val="center"/>
              <w:rPr>
                <w:rFonts w:hint="eastAsia"/>
                <w:color w:val="auto"/>
                <w:sz w:val="21"/>
                <w:szCs w:val="21"/>
              </w:rPr>
            </w:pPr>
            <w:r>
              <w:rPr>
                <w:rFonts w:hint="eastAsia"/>
                <w:color w:val="auto"/>
                <w:sz w:val="21"/>
                <w:szCs w:val="21"/>
              </w:rPr>
              <w:t>数量</w:t>
            </w:r>
          </w:p>
        </w:tc>
        <w:tc>
          <w:tcPr>
            <w:tcW w:w="3093" w:type="dxa"/>
            <w:noWrap w:val="0"/>
            <w:vAlign w:val="center"/>
          </w:tcPr>
          <w:p w14:paraId="793CED4B">
            <w:pPr>
              <w:pStyle w:val="25"/>
              <w:bidi w:val="0"/>
              <w:spacing w:line="240" w:lineRule="auto"/>
              <w:ind w:left="0" w:leftChars="0" w:firstLine="0" w:firstLineChars="0"/>
              <w:rPr>
                <w:rFonts w:hint="eastAsia"/>
                <w:color w:val="auto"/>
                <w:sz w:val="21"/>
                <w:szCs w:val="21"/>
              </w:rPr>
            </w:pPr>
          </w:p>
        </w:tc>
      </w:tr>
      <w:tr w14:paraId="6072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2320" w:type="dxa"/>
            <w:tcBorders>
              <w:bottom w:val="single" w:color="auto" w:sz="4" w:space="0"/>
            </w:tcBorders>
            <w:noWrap w:val="0"/>
            <w:vAlign w:val="center"/>
          </w:tcPr>
          <w:p w14:paraId="57AB6840">
            <w:pPr>
              <w:pStyle w:val="25"/>
              <w:bidi w:val="0"/>
              <w:spacing w:line="240" w:lineRule="auto"/>
              <w:ind w:left="0" w:leftChars="0" w:firstLine="0" w:firstLineChars="0"/>
              <w:rPr>
                <w:rFonts w:hint="eastAsia" w:eastAsia="方正仿宋_GBK"/>
                <w:color w:val="auto"/>
                <w:sz w:val="21"/>
                <w:szCs w:val="21"/>
                <w:lang w:eastAsia="zh-CN"/>
              </w:rPr>
            </w:pPr>
            <w:r>
              <w:rPr>
                <w:rFonts w:hint="eastAsia"/>
                <w:color w:val="auto"/>
                <w:sz w:val="21"/>
                <w:szCs w:val="21"/>
                <w:lang w:eastAsia="zh-CN"/>
              </w:rPr>
              <w:t>合计报价（元）</w:t>
            </w:r>
            <w:r>
              <w:rPr>
                <w:rFonts w:hint="eastAsia"/>
                <w:color w:val="auto"/>
                <w:sz w:val="21"/>
                <w:szCs w:val="21"/>
              </w:rPr>
              <w:t>（小写）</w:t>
            </w:r>
          </w:p>
        </w:tc>
        <w:tc>
          <w:tcPr>
            <w:tcW w:w="7308" w:type="dxa"/>
            <w:gridSpan w:val="3"/>
            <w:tcBorders>
              <w:bottom w:val="single" w:color="auto" w:sz="4" w:space="0"/>
            </w:tcBorders>
            <w:noWrap w:val="0"/>
            <w:vAlign w:val="top"/>
          </w:tcPr>
          <w:p w14:paraId="2C610BE7">
            <w:pPr>
              <w:pStyle w:val="25"/>
              <w:bidi w:val="0"/>
              <w:spacing w:line="240" w:lineRule="auto"/>
              <w:ind w:left="0" w:leftChars="0" w:firstLine="0" w:firstLineChars="0"/>
              <w:rPr>
                <w:rFonts w:hint="eastAsia"/>
                <w:color w:val="auto"/>
                <w:sz w:val="21"/>
                <w:szCs w:val="21"/>
              </w:rPr>
            </w:pPr>
          </w:p>
        </w:tc>
      </w:tr>
      <w:tr w14:paraId="697A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628" w:type="dxa"/>
            <w:gridSpan w:val="4"/>
            <w:tcBorders>
              <w:bottom w:val="single" w:color="auto" w:sz="4" w:space="0"/>
            </w:tcBorders>
            <w:noWrap w:val="0"/>
            <w:vAlign w:val="center"/>
          </w:tcPr>
          <w:p w14:paraId="23D629AD">
            <w:pPr>
              <w:pStyle w:val="25"/>
              <w:bidi w:val="0"/>
              <w:spacing w:line="240" w:lineRule="auto"/>
              <w:ind w:left="0" w:leftChars="0" w:firstLine="0" w:firstLineChars="0"/>
              <w:rPr>
                <w:rFonts w:hint="eastAsia"/>
                <w:color w:val="auto"/>
                <w:sz w:val="21"/>
                <w:szCs w:val="21"/>
              </w:rPr>
            </w:pPr>
            <w:r>
              <w:rPr>
                <w:rFonts w:hint="eastAsia"/>
                <w:color w:val="auto"/>
                <w:sz w:val="21"/>
                <w:szCs w:val="21"/>
                <w:lang w:eastAsia="zh-CN"/>
              </w:rPr>
              <w:t>合计</w:t>
            </w:r>
            <w:r>
              <w:rPr>
                <w:rFonts w:hint="eastAsia"/>
                <w:color w:val="auto"/>
                <w:sz w:val="21"/>
                <w:szCs w:val="21"/>
              </w:rPr>
              <w:t>报价（大写）：</w:t>
            </w:r>
          </w:p>
        </w:tc>
      </w:tr>
      <w:tr w14:paraId="490F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1C81AEAE">
            <w:pPr>
              <w:pStyle w:val="25"/>
              <w:bidi w:val="0"/>
              <w:spacing w:line="240" w:lineRule="auto"/>
              <w:ind w:left="0" w:leftChars="0" w:firstLine="0" w:firstLineChars="0"/>
              <w:rPr>
                <w:rFonts w:hint="eastAsia"/>
                <w:color w:val="auto"/>
                <w:sz w:val="21"/>
                <w:szCs w:val="21"/>
                <w:lang w:val="en-US" w:eastAsia="zh-CN"/>
              </w:rPr>
            </w:pPr>
            <w:r>
              <w:rPr>
                <w:rFonts w:hint="eastAsia"/>
                <w:color w:val="auto"/>
                <w:sz w:val="21"/>
                <w:szCs w:val="21"/>
                <w:lang w:val="en-US" w:eastAsia="zh-CN"/>
              </w:rPr>
              <w:t>备注：</w:t>
            </w:r>
          </w:p>
        </w:tc>
      </w:tr>
    </w:tbl>
    <w:p w14:paraId="11A004DA">
      <w:pPr>
        <w:snapToGrid w:val="0"/>
        <w:spacing w:line="500" w:lineRule="exact"/>
        <w:ind w:firstLine="4830" w:firstLineChars="230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供应商：（须加盖公章）</w:t>
      </w:r>
    </w:p>
    <w:p w14:paraId="13A0961F">
      <w:pPr>
        <w:snapToGrid w:val="0"/>
        <w:spacing w:line="500" w:lineRule="exact"/>
        <w:ind w:firstLine="4830" w:firstLineChars="230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法定代表人或被委托受权人（签字）：</w:t>
      </w:r>
    </w:p>
    <w:p w14:paraId="559E2448">
      <w:pPr>
        <w:snapToGrid w:val="0"/>
        <w:spacing w:line="500" w:lineRule="exact"/>
        <w:ind w:firstLine="4830" w:firstLineChars="230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日期：</w:t>
      </w:r>
    </w:p>
    <w:p w14:paraId="35791943">
      <w:pPr>
        <w:snapToGrid w:val="0"/>
        <w:spacing w:line="500" w:lineRule="exact"/>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注：</w:t>
      </w:r>
    </w:p>
    <w:p w14:paraId="4F60DFA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1.本表为格式表，不得改动，必须提供。</w:t>
      </w:r>
    </w:p>
    <w:p w14:paraId="26EDFE3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2.本项目，</w:t>
      </w:r>
      <w:r>
        <w:rPr>
          <w:rFonts w:hint="eastAsia" w:eastAsia="方正仿宋_GBK" w:cs="Times New Roman"/>
          <w:color w:val="auto"/>
          <w:sz w:val="24"/>
          <w:szCs w:val="28"/>
          <w:lang w:eastAsia="zh-CN"/>
        </w:rPr>
        <w:t>供应商</w:t>
      </w:r>
      <w:r>
        <w:rPr>
          <w:rFonts w:hint="default" w:ascii="Times New Roman" w:hAnsi="Times New Roman" w:eastAsia="方正仿宋_GBK" w:cs="Times New Roman"/>
          <w:color w:val="auto"/>
          <w:sz w:val="24"/>
          <w:szCs w:val="28"/>
        </w:rPr>
        <w:t>须对所投医疗设备进行分项投标报价，不得缺项和漏项，否则按不响应招标文件实质性要求处理。</w:t>
      </w:r>
    </w:p>
    <w:p w14:paraId="19CAF2E6">
      <w:pPr>
        <w:pStyle w:val="25"/>
        <w:bidi w:val="0"/>
        <w:rPr>
          <w:rFonts w:hint="eastAsia"/>
          <w:color w:val="auto"/>
          <w:highlight w:val="none"/>
          <w:lang w:val="en-US" w:eastAsia="zh-CN"/>
        </w:rPr>
      </w:pPr>
      <w:r>
        <w:rPr>
          <w:rFonts w:hint="default" w:ascii="Times New Roman" w:hAnsi="Times New Roman" w:eastAsia="方正仿宋_GBK" w:cs="Times New Roman"/>
          <w:color w:val="auto"/>
          <w:sz w:val="24"/>
          <w:szCs w:val="28"/>
        </w:rPr>
        <w:t>3.设备预算总限价为</w:t>
      </w:r>
      <w:r>
        <w:rPr>
          <w:rFonts w:hint="eastAsia" w:ascii="Times New Roman" w:hAnsi="Times New Roman" w:cs="Times New Roman"/>
          <w:color w:val="auto"/>
          <w:sz w:val="24"/>
          <w:szCs w:val="28"/>
          <w:lang w:val="en-US" w:eastAsia="zh-CN"/>
        </w:rPr>
        <w:t>8000</w:t>
      </w:r>
      <w:r>
        <w:rPr>
          <w:rFonts w:hint="default" w:ascii="Times New Roman" w:hAnsi="Times New Roman" w:eastAsia="方正仿宋_GBK" w:cs="Times New Roman"/>
          <w:color w:val="auto"/>
          <w:sz w:val="24"/>
          <w:szCs w:val="28"/>
        </w:rPr>
        <w:t>元，</w:t>
      </w:r>
      <w:r>
        <w:rPr>
          <w:rFonts w:hint="eastAsia"/>
          <w:color w:val="auto"/>
          <w:highlight w:val="none"/>
          <w:lang w:val="en-US" w:eastAsia="zh-CN"/>
        </w:rPr>
        <w:t>包括</w:t>
      </w:r>
      <w:r>
        <w:rPr>
          <w:rFonts w:hint="default"/>
          <w:color w:val="auto"/>
          <w:highlight w:val="none"/>
          <w:lang w:val="en-US" w:eastAsia="zh-CN"/>
        </w:rPr>
        <w:t>完成本项目</w:t>
      </w:r>
      <w:r>
        <w:rPr>
          <w:rFonts w:hint="eastAsia"/>
          <w:color w:val="auto"/>
          <w:highlight w:val="none"/>
          <w:lang w:val="en-US" w:eastAsia="zh-CN"/>
        </w:rPr>
        <w:t>设备购置</w:t>
      </w:r>
      <w:r>
        <w:rPr>
          <w:rFonts w:hint="default"/>
          <w:color w:val="auto"/>
          <w:highlight w:val="none"/>
          <w:lang w:val="en-US" w:eastAsia="zh-CN"/>
        </w:rPr>
        <w:t>的全部</w:t>
      </w:r>
      <w:r>
        <w:rPr>
          <w:rFonts w:hint="eastAsia"/>
          <w:color w:val="auto"/>
          <w:highlight w:val="none"/>
          <w:lang w:val="en-US" w:eastAsia="zh-CN"/>
        </w:rPr>
        <w:t>费用</w:t>
      </w:r>
      <w:r>
        <w:rPr>
          <w:rFonts w:hint="default"/>
          <w:color w:val="auto"/>
          <w:highlight w:val="none"/>
          <w:lang w:val="en-US" w:eastAsia="zh-CN"/>
        </w:rPr>
        <w:t>，包括商品价、运输费(含包装费、装卸费)、保险费、安装调试费、税费(若有进口商品，须包含关税)、培训费、供应商工作人员差旅费、第三方机构验收费用等供应商将全部商品送达至采购人指定地点并安装调试能够运行的所有费用及质保期内的售后服务费，均由供应商承担。合同履行期间合同总价款不变，采购人应当按合同约定进行付款，采购人无须另行向供应商支付合同约定之外的其他任何费用。</w:t>
      </w:r>
    </w:p>
    <w:p w14:paraId="173652A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4.分项明细报价与合计总价应当相等，如果按单价计算的结果与总价不一致，以总价为准，修正</w:t>
      </w:r>
      <w:r>
        <w:rPr>
          <w:rFonts w:hint="eastAsia" w:ascii="Times New Roman" w:hAnsi="Times New Roman" w:eastAsia="方正仿宋_GBK" w:cs="Times New Roman"/>
          <w:color w:val="auto"/>
          <w:sz w:val="24"/>
          <w:szCs w:val="28"/>
          <w:lang w:val="en-US" w:eastAsia="zh-CN"/>
        </w:rPr>
        <w:t>单</w:t>
      </w:r>
      <w:r>
        <w:rPr>
          <w:rFonts w:hint="default" w:ascii="Times New Roman" w:hAnsi="Times New Roman" w:eastAsia="方正仿宋_GBK" w:cs="Times New Roman"/>
          <w:color w:val="auto"/>
          <w:sz w:val="24"/>
          <w:szCs w:val="28"/>
        </w:rPr>
        <w:t>价。</w:t>
      </w:r>
    </w:p>
    <w:p w14:paraId="5D42BC2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5.本项目第二次报价仅接受等于或低于供应商的首次报价，否则作无效采购响应处理。</w:t>
      </w:r>
    </w:p>
    <w:p w14:paraId="7B2C984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6.一旦成交，最后报价响应总价即为本采购项目的成交价。</w:t>
      </w:r>
    </w:p>
    <w:p w14:paraId="0600A17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7.项目实施过程中，供应商不得以任何借口增加项目，另行收取额外或其他费用。</w:t>
      </w:r>
    </w:p>
    <w:p w14:paraId="7D56A7C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方正仿宋_GBK" w:cs="Times New Roman"/>
          <w:color w:val="auto"/>
          <w:sz w:val="24"/>
          <w:szCs w:val="28"/>
        </w:rPr>
      </w:pPr>
    </w:p>
    <w:p w14:paraId="6EC8D51A">
      <w:pPr>
        <w:tabs>
          <w:tab w:val="left" w:pos="2895"/>
        </w:tabs>
        <w:spacing w:line="400" w:lineRule="exact"/>
        <w:ind w:firstLine="480" w:firstLineChars="200"/>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三</w:t>
      </w:r>
      <w:r>
        <w:rPr>
          <w:rFonts w:hint="default" w:ascii="Times New Roman" w:hAnsi="Times New Roman" w:eastAsia="方正仿宋_GBK" w:cs="Times New Roman"/>
          <w:color w:val="auto"/>
          <w:sz w:val="24"/>
          <w:szCs w:val="24"/>
        </w:rPr>
        <w:t>）试剂和耗材报价明细表</w:t>
      </w:r>
    </w:p>
    <w:p w14:paraId="179BC283">
      <w:pPr>
        <w:pStyle w:val="25"/>
        <w:bidi w:val="0"/>
        <w:rPr>
          <w:rFonts w:hint="eastAsia"/>
          <w:color w:val="auto"/>
        </w:rPr>
      </w:pPr>
      <w:r>
        <w:rPr>
          <w:rFonts w:hint="eastAsia"/>
          <w:color w:val="auto"/>
        </w:rPr>
        <w:t>项目名称：</w:t>
      </w:r>
    </w:p>
    <w:p w14:paraId="651A1CD2">
      <w:pPr>
        <w:pStyle w:val="25"/>
        <w:bidi w:val="0"/>
        <w:rPr>
          <w:rFonts w:hint="eastAsia" w:eastAsia="方正仿宋_GBK"/>
          <w:color w:val="auto"/>
          <w:lang w:eastAsia="zh-CN"/>
        </w:rPr>
      </w:pPr>
      <w:r>
        <w:rPr>
          <w:rFonts w:hint="eastAsia"/>
          <w:color w:val="auto"/>
        </w:rPr>
        <w:t>分包号及名称</w:t>
      </w:r>
      <w:r>
        <w:rPr>
          <w:rFonts w:hint="eastAsia"/>
          <w:color w:val="auto"/>
          <w:lang w:eastAsia="zh-CN"/>
        </w:rPr>
        <w:t>：</w:t>
      </w:r>
    </w:p>
    <w:tbl>
      <w:tblPr>
        <w:tblStyle w:val="21"/>
        <w:tblpPr w:leftFromText="180" w:rightFromText="180" w:vertAnchor="text" w:horzAnchor="page" w:tblpX="1049" w:tblpY="384"/>
        <w:tblOverlap w:val="never"/>
        <w:tblW w:w="5163" w:type="pct"/>
        <w:tblInd w:w="0" w:type="dxa"/>
        <w:tblLayout w:type="fixed"/>
        <w:tblCellMar>
          <w:top w:w="0" w:type="dxa"/>
          <w:left w:w="57" w:type="dxa"/>
          <w:bottom w:w="0" w:type="dxa"/>
          <w:right w:w="57" w:type="dxa"/>
        </w:tblCellMar>
      </w:tblPr>
      <w:tblGrid>
        <w:gridCol w:w="643"/>
        <w:gridCol w:w="3958"/>
        <w:gridCol w:w="1050"/>
        <w:gridCol w:w="1277"/>
        <w:gridCol w:w="1230"/>
        <w:gridCol w:w="1680"/>
      </w:tblGrid>
      <w:tr w14:paraId="74A095BE">
        <w:trPr>
          <w:trHeight w:val="279" w:hRule="atLeast"/>
          <w:tblHead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1584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b/>
                <w:bCs/>
                <w:color w:val="auto"/>
                <w:kern w:val="0"/>
                <w:sz w:val="21"/>
                <w:szCs w:val="21"/>
              </w:rPr>
            </w:pPr>
            <w:r>
              <w:rPr>
                <w:rFonts w:hint="eastAsia" w:ascii="方正仿宋_GBK" w:hAnsi="方正仿宋_GBK" w:eastAsia="方正仿宋_GBK" w:cs="方正仿宋_GBK"/>
                <w:b/>
                <w:bCs/>
                <w:snapToGrid w:val="0"/>
                <w:color w:val="auto"/>
                <w:kern w:val="0"/>
                <w:sz w:val="21"/>
                <w:szCs w:val="21"/>
                <w:lang w:bidi="ar"/>
              </w:rPr>
              <w:t>序号</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3706B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b/>
                <w:bCs/>
                <w:color w:val="auto"/>
                <w:kern w:val="0"/>
                <w:sz w:val="21"/>
                <w:szCs w:val="21"/>
              </w:rPr>
            </w:pPr>
            <w:r>
              <w:rPr>
                <w:rFonts w:hint="eastAsia" w:ascii="方正仿宋_GBK" w:hAnsi="方正仿宋_GBK" w:eastAsia="方正仿宋_GBK" w:cs="方正仿宋_GBK"/>
                <w:b/>
                <w:bCs/>
                <w:snapToGrid w:val="0"/>
                <w:color w:val="auto"/>
                <w:kern w:val="0"/>
                <w:sz w:val="21"/>
                <w:szCs w:val="21"/>
                <w:lang w:bidi="ar"/>
              </w:rPr>
              <w:t>试剂名称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0410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方正仿宋_GBK" w:hAnsi="方正仿宋_GBK" w:eastAsia="方正仿宋_GBK" w:cs="方正仿宋_GBK"/>
                <w:b/>
                <w:bCs/>
                <w:snapToGrid w:val="0"/>
                <w:color w:val="auto"/>
                <w:kern w:val="0"/>
                <w:sz w:val="21"/>
                <w:szCs w:val="21"/>
                <w:lang w:val="en-US" w:eastAsia="zh-CN" w:bidi="ar"/>
              </w:rPr>
            </w:pPr>
            <w:r>
              <w:rPr>
                <w:rFonts w:hint="eastAsia" w:ascii="方正仿宋_GBK" w:hAnsi="方正仿宋_GBK" w:eastAsia="方正仿宋_GBK" w:cs="方正仿宋_GBK"/>
                <w:b/>
                <w:bCs/>
                <w:snapToGrid w:val="0"/>
                <w:color w:val="auto"/>
                <w:kern w:val="0"/>
                <w:sz w:val="21"/>
                <w:szCs w:val="21"/>
                <w:lang w:val="en-US" w:eastAsia="zh-CN" w:bidi="ar"/>
              </w:rPr>
              <w:t>生产厂家</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592D4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b/>
                <w:bCs/>
                <w:color w:val="auto"/>
                <w:kern w:val="0"/>
                <w:sz w:val="21"/>
                <w:szCs w:val="21"/>
              </w:rPr>
            </w:pPr>
            <w:r>
              <w:rPr>
                <w:rFonts w:hint="eastAsia" w:ascii="方正仿宋_GBK" w:hAnsi="方正仿宋_GBK" w:eastAsia="方正仿宋_GBK" w:cs="方正仿宋_GBK"/>
                <w:b/>
                <w:bCs/>
                <w:snapToGrid w:val="0"/>
                <w:color w:val="auto"/>
                <w:kern w:val="0"/>
                <w:sz w:val="21"/>
                <w:szCs w:val="21"/>
                <w:lang w:val="en-US" w:eastAsia="zh-CN" w:bidi="ar"/>
              </w:rPr>
              <w:t>规格</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F5C1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default" w:ascii="方正仿宋_GBK" w:hAnsi="方正仿宋_GBK" w:eastAsia="方正仿宋_GBK" w:cs="方正仿宋_GBK"/>
                <w:b/>
                <w:bCs/>
                <w:snapToGrid w:val="0"/>
                <w:color w:val="auto"/>
                <w:kern w:val="0"/>
                <w:sz w:val="21"/>
                <w:szCs w:val="21"/>
                <w:lang w:val="en-US" w:eastAsia="zh-CN" w:bidi="ar"/>
              </w:rPr>
            </w:pPr>
            <w:r>
              <w:rPr>
                <w:rFonts w:hint="eastAsia" w:ascii="方正仿宋_GBK" w:hAnsi="方正仿宋_GBK" w:eastAsia="方正仿宋_GBK" w:cs="方正仿宋_GBK"/>
                <w:b/>
                <w:bCs/>
                <w:snapToGrid w:val="0"/>
                <w:color w:val="auto"/>
                <w:kern w:val="0"/>
                <w:sz w:val="21"/>
                <w:szCs w:val="21"/>
                <w:lang w:val="en-US" w:eastAsia="zh-CN" w:bidi="ar"/>
              </w:rPr>
              <w:t>药交所备案价或挂网价</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413A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b/>
                <w:bCs/>
                <w:snapToGrid w:val="0"/>
                <w:color w:val="auto"/>
                <w:kern w:val="0"/>
                <w:sz w:val="21"/>
                <w:szCs w:val="21"/>
                <w:lang w:val="en-US" w:eastAsia="zh-CN" w:bidi="ar"/>
              </w:rPr>
            </w:pPr>
            <w:r>
              <w:rPr>
                <w:rFonts w:hint="eastAsia" w:ascii="方正仿宋_GBK" w:hAnsi="方正仿宋_GBK" w:eastAsia="方正仿宋_GBK" w:cs="方正仿宋_GBK"/>
                <w:b/>
                <w:bCs/>
                <w:color w:val="auto"/>
                <w:kern w:val="0"/>
                <w:sz w:val="21"/>
                <w:szCs w:val="21"/>
                <w:lang w:val="en-US" w:eastAsia="zh-CN"/>
              </w:rPr>
              <w:t>单人份承诺报价(xxx元/人份)</w:t>
            </w:r>
          </w:p>
        </w:tc>
      </w:tr>
      <w:tr w14:paraId="3D8CFEC1">
        <w:tblPrEx>
          <w:tblCellMar>
            <w:top w:w="0" w:type="dxa"/>
            <w:left w:w="57" w:type="dxa"/>
            <w:bottom w:w="0" w:type="dxa"/>
            <w:right w:w="57" w:type="dxa"/>
          </w:tblCellMar>
        </w:tblPrEx>
        <w:trPr>
          <w:trHeight w:val="279"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C23E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73490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方正仿宋_GBK" w:hAnsi="方正仿宋_GBK" w:eastAsia="方正仿宋_GBK" w:cs="方正仿宋_GBK"/>
                <w:color w:val="auto"/>
                <w:kern w:val="0"/>
                <w:sz w:val="21"/>
                <w:szCs w:val="21"/>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7B3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snapToGrid w:val="0"/>
                <w:color w:val="auto"/>
                <w:kern w:val="0"/>
                <w:sz w:val="21"/>
                <w:szCs w:val="21"/>
                <w:lang w:bidi="ar"/>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2B9B7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lang w:val="en-US" w:eastAsia="zh-CN"/>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84F7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snapToGrid w:val="0"/>
                <w:color w:val="auto"/>
                <w:kern w:val="0"/>
                <w:sz w:val="21"/>
                <w:szCs w:val="21"/>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0682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snapToGrid w:val="0"/>
                <w:color w:val="auto"/>
                <w:kern w:val="0"/>
                <w:sz w:val="21"/>
                <w:szCs w:val="21"/>
                <w:lang w:val="en-US" w:eastAsia="zh-CN" w:bidi="ar"/>
              </w:rPr>
            </w:pPr>
            <w:r>
              <w:rPr>
                <w:rFonts w:hint="eastAsia" w:ascii="方正仿宋_GBK" w:hAnsi="方正仿宋_GBK" w:eastAsia="方正仿宋_GBK" w:cs="方正仿宋_GBK"/>
                <w:color w:val="auto"/>
                <w:kern w:val="0"/>
                <w:sz w:val="21"/>
                <w:szCs w:val="21"/>
                <w:lang w:val="en-US" w:eastAsia="zh-CN"/>
              </w:rPr>
              <w:t>XX</w:t>
            </w:r>
            <w:r>
              <w:rPr>
                <w:rFonts w:hint="eastAsia" w:ascii="方正仿宋_GBK" w:hAnsi="方正仿宋_GBK" w:eastAsia="方正仿宋_GBK" w:cs="方正仿宋_GBK"/>
                <w:color w:val="auto"/>
                <w:kern w:val="0"/>
                <w:sz w:val="21"/>
                <w:szCs w:val="21"/>
              </w:rPr>
              <w:t>盒</w:t>
            </w:r>
          </w:p>
        </w:tc>
      </w:tr>
      <w:tr w14:paraId="2B242F3C">
        <w:tblPrEx>
          <w:tblCellMar>
            <w:top w:w="0" w:type="dxa"/>
            <w:left w:w="57" w:type="dxa"/>
            <w:bottom w:w="0" w:type="dxa"/>
            <w:right w:w="57" w:type="dxa"/>
          </w:tblCellMar>
        </w:tblPrEx>
        <w:trPr>
          <w:trHeight w:val="279"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017F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18E45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方正仿宋_GBK" w:hAnsi="方正仿宋_GBK" w:eastAsia="方正仿宋_GBK" w:cs="方正仿宋_GBK"/>
                <w:color w:val="auto"/>
                <w:kern w:val="0"/>
                <w:sz w:val="21"/>
                <w:szCs w:val="21"/>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29B8E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snapToGrid w:val="0"/>
                <w:color w:val="auto"/>
                <w:kern w:val="0"/>
                <w:sz w:val="21"/>
                <w:szCs w:val="21"/>
                <w:lang w:bidi="ar"/>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71711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4720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snapToGrid w:val="0"/>
                <w:color w:val="auto"/>
                <w:kern w:val="0"/>
                <w:sz w:val="21"/>
                <w:szCs w:val="21"/>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C749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snapToGrid w:val="0"/>
                <w:color w:val="auto"/>
                <w:kern w:val="0"/>
                <w:sz w:val="21"/>
                <w:szCs w:val="21"/>
                <w:lang w:val="en-US" w:eastAsia="zh-CN" w:bidi="ar"/>
              </w:rPr>
            </w:pPr>
            <w:r>
              <w:rPr>
                <w:rFonts w:hint="eastAsia" w:ascii="方正仿宋_GBK" w:hAnsi="方正仿宋_GBK" w:eastAsia="方正仿宋_GBK" w:cs="方正仿宋_GBK"/>
                <w:color w:val="auto"/>
                <w:kern w:val="0"/>
                <w:sz w:val="21"/>
                <w:szCs w:val="21"/>
              </w:rPr>
              <w:t>盒</w:t>
            </w:r>
          </w:p>
        </w:tc>
      </w:tr>
      <w:tr w14:paraId="4162612E">
        <w:tblPrEx>
          <w:tblCellMar>
            <w:top w:w="0" w:type="dxa"/>
            <w:left w:w="57" w:type="dxa"/>
            <w:bottom w:w="0" w:type="dxa"/>
            <w:right w:w="57" w:type="dxa"/>
          </w:tblCellMar>
        </w:tblPrEx>
        <w:trPr>
          <w:trHeight w:val="279"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F9DF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3</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134FC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方正仿宋_GBK" w:hAnsi="方正仿宋_GBK" w:eastAsia="方正仿宋_GBK" w:cs="方正仿宋_GBK"/>
                <w:snapToGrid w:val="0"/>
                <w:color w:val="auto"/>
                <w:kern w:val="0"/>
                <w:sz w:val="21"/>
                <w:szCs w:val="21"/>
                <w:lang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880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410C4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snapToGrid w:val="0"/>
                <w:color w:val="auto"/>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ACDD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color w:val="auto"/>
                <w:kern w:val="0"/>
                <w:sz w:val="21"/>
                <w:szCs w:val="21"/>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B292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snapToGrid w:val="0"/>
                <w:color w:val="auto"/>
                <w:kern w:val="0"/>
                <w:sz w:val="21"/>
                <w:szCs w:val="21"/>
                <w:lang w:bidi="ar"/>
              </w:rPr>
              <w:t>盒</w:t>
            </w:r>
          </w:p>
        </w:tc>
      </w:tr>
      <w:tr w14:paraId="68DB7FB9">
        <w:tblPrEx>
          <w:tblCellMar>
            <w:top w:w="0" w:type="dxa"/>
            <w:left w:w="57" w:type="dxa"/>
            <w:bottom w:w="0" w:type="dxa"/>
            <w:right w:w="57" w:type="dxa"/>
          </w:tblCellMar>
        </w:tblPrEx>
        <w:trPr>
          <w:trHeight w:val="279"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9591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4</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018B8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方正仿宋_GBK" w:hAnsi="方正仿宋_GBK" w:eastAsia="方正仿宋_GBK" w:cs="方正仿宋_GBK"/>
                <w:snapToGrid w:val="0"/>
                <w:color w:val="auto"/>
                <w:kern w:val="0"/>
                <w:sz w:val="21"/>
                <w:szCs w:val="21"/>
                <w:lang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E757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78937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snapToGrid w:val="0"/>
                <w:color w:val="auto"/>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6880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color w:val="auto"/>
                <w:kern w:val="0"/>
                <w:sz w:val="21"/>
                <w:szCs w:val="21"/>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BBD0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snapToGrid w:val="0"/>
                <w:color w:val="auto"/>
                <w:kern w:val="0"/>
                <w:sz w:val="21"/>
                <w:szCs w:val="21"/>
                <w:lang w:bidi="ar"/>
              </w:rPr>
              <w:t>盒</w:t>
            </w:r>
          </w:p>
        </w:tc>
      </w:tr>
      <w:tr w14:paraId="232FA0C0">
        <w:tblPrEx>
          <w:tblCellMar>
            <w:top w:w="0" w:type="dxa"/>
            <w:left w:w="57" w:type="dxa"/>
            <w:bottom w:w="0" w:type="dxa"/>
            <w:right w:w="57" w:type="dxa"/>
          </w:tblCellMar>
        </w:tblPrEx>
        <w:trPr>
          <w:trHeight w:val="279"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FBF0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5</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1AE57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方正仿宋_GBK" w:hAnsi="方正仿宋_GBK" w:eastAsia="方正仿宋_GBK" w:cs="方正仿宋_GBK"/>
                <w:snapToGrid w:val="0"/>
                <w:color w:val="auto"/>
                <w:kern w:val="0"/>
                <w:sz w:val="21"/>
                <w:szCs w:val="21"/>
                <w:lang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F9A9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5BE5A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snapToGrid w:val="0"/>
                <w:color w:val="auto"/>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00DA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color w:val="auto"/>
                <w:kern w:val="0"/>
                <w:sz w:val="21"/>
                <w:szCs w:val="21"/>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FF8C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snapToGrid w:val="0"/>
                <w:color w:val="auto"/>
                <w:kern w:val="0"/>
                <w:sz w:val="21"/>
                <w:szCs w:val="21"/>
                <w:lang w:bidi="ar"/>
              </w:rPr>
              <w:t>盒</w:t>
            </w:r>
          </w:p>
        </w:tc>
      </w:tr>
      <w:tr w14:paraId="434BC6A7">
        <w:tblPrEx>
          <w:tblCellMar>
            <w:top w:w="0" w:type="dxa"/>
            <w:left w:w="57" w:type="dxa"/>
            <w:bottom w:w="0" w:type="dxa"/>
            <w:right w:w="57" w:type="dxa"/>
          </w:tblCellMar>
        </w:tblPrEx>
        <w:trPr>
          <w:trHeight w:val="90"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55D3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6</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686E1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方正仿宋_GBK" w:hAnsi="方正仿宋_GBK" w:eastAsia="方正仿宋_GBK" w:cs="方正仿宋_GBK"/>
                <w:snapToGrid w:val="0"/>
                <w:color w:val="auto"/>
                <w:kern w:val="0"/>
                <w:sz w:val="21"/>
                <w:szCs w:val="21"/>
                <w:lang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0E45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54403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snapToGrid w:val="0"/>
                <w:color w:val="auto"/>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4828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color w:val="auto"/>
                <w:kern w:val="0"/>
                <w:sz w:val="21"/>
                <w:szCs w:val="21"/>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F4F6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snapToGrid w:val="0"/>
                <w:color w:val="auto"/>
                <w:kern w:val="0"/>
                <w:sz w:val="21"/>
                <w:szCs w:val="21"/>
                <w:lang w:bidi="ar"/>
              </w:rPr>
              <w:t>盒</w:t>
            </w:r>
          </w:p>
        </w:tc>
      </w:tr>
      <w:tr w14:paraId="186539FE">
        <w:tblPrEx>
          <w:tblCellMar>
            <w:top w:w="0" w:type="dxa"/>
            <w:left w:w="57" w:type="dxa"/>
            <w:bottom w:w="0" w:type="dxa"/>
            <w:right w:w="57" w:type="dxa"/>
          </w:tblCellMar>
        </w:tblPrEx>
        <w:trPr>
          <w:trHeight w:val="279"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F298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7</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6379F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方正仿宋_GBK" w:hAnsi="方正仿宋_GBK" w:eastAsia="方正仿宋_GBK" w:cs="方正仿宋_GBK"/>
                <w:snapToGrid w:val="0"/>
                <w:color w:val="auto"/>
                <w:kern w:val="0"/>
                <w:sz w:val="21"/>
                <w:szCs w:val="21"/>
                <w:lang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71DB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color w:val="auto"/>
                <w:kern w:val="0"/>
                <w:sz w:val="21"/>
                <w:szCs w:val="21"/>
                <w:lang w:val="en-US" w:eastAsia="zh-CN" w:bidi="ar-SA"/>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72B9A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snapToGrid w:val="0"/>
                <w:color w:val="auto"/>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ECAE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color w:val="auto"/>
                <w:kern w:val="0"/>
                <w:sz w:val="21"/>
                <w:szCs w:val="21"/>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5DBF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snapToGrid w:val="0"/>
                <w:color w:val="auto"/>
                <w:kern w:val="0"/>
                <w:sz w:val="21"/>
                <w:szCs w:val="21"/>
                <w:lang w:bidi="ar"/>
              </w:rPr>
              <w:t>盒</w:t>
            </w:r>
          </w:p>
        </w:tc>
      </w:tr>
      <w:tr w14:paraId="275978FC">
        <w:tblPrEx>
          <w:tblCellMar>
            <w:top w:w="0" w:type="dxa"/>
            <w:left w:w="57" w:type="dxa"/>
            <w:bottom w:w="0" w:type="dxa"/>
            <w:right w:w="57" w:type="dxa"/>
          </w:tblCellMar>
        </w:tblPrEx>
        <w:trPr>
          <w:trHeight w:val="279"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F205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方正仿宋_GBK" w:hAnsi="方正仿宋_GBK" w:eastAsia="方正仿宋_GBK" w:cs="方正仿宋_GBK"/>
                <w:snapToGrid w:val="0"/>
                <w:color w:val="auto"/>
                <w:kern w:val="0"/>
                <w:sz w:val="21"/>
                <w:szCs w:val="21"/>
                <w:lang w:val="en-US" w:eastAsia="zh-CN" w:bidi="ar"/>
              </w:rPr>
            </w:pPr>
            <w:r>
              <w:rPr>
                <w:rFonts w:hint="eastAsia" w:ascii="方正仿宋_GBK" w:hAnsi="方正仿宋_GBK" w:eastAsia="方正仿宋_GBK" w:cs="方正仿宋_GBK"/>
                <w:snapToGrid w:val="0"/>
                <w:color w:val="auto"/>
                <w:kern w:val="0"/>
                <w:sz w:val="21"/>
                <w:szCs w:val="21"/>
                <w:lang w:val="en-US" w:eastAsia="zh-CN" w:bidi="ar"/>
              </w:rPr>
              <w:t>8</w:t>
            </w:r>
          </w:p>
        </w:tc>
        <w:tc>
          <w:tcPr>
            <w:tcW w:w="9195" w:type="dxa"/>
            <w:gridSpan w:val="5"/>
            <w:tcBorders>
              <w:top w:val="single" w:color="000000" w:sz="4" w:space="0"/>
              <w:left w:val="single" w:color="000000" w:sz="4" w:space="0"/>
              <w:bottom w:val="single" w:color="000000" w:sz="4" w:space="0"/>
              <w:right w:val="single" w:color="000000" w:sz="4" w:space="0"/>
            </w:tcBorders>
            <w:noWrap w:val="0"/>
            <w:vAlign w:val="center"/>
          </w:tcPr>
          <w:p w14:paraId="01640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方正仿宋_GBK" w:hAnsi="方正仿宋_GBK" w:eastAsia="方正仿宋_GBK" w:cs="方正仿宋_GBK"/>
                <w:color w:val="auto"/>
                <w:spacing w:val="3"/>
                <w:sz w:val="21"/>
                <w:szCs w:val="21"/>
                <w:highlight w:val="none"/>
                <w:lang w:val="en-US" w:eastAsia="zh-CN"/>
              </w:rPr>
            </w:pPr>
            <w:r>
              <w:rPr>
                <w:rFonts w:hint="eastAsia" w:ascii="方正仿宋_GBK" w:hAnsi="方正仿宋_GBK" w:eastAsia="方正仿宋_GBK" w:cs="方正仿宋_GBK"/>
                <w:color w:val="auto"/>
                <w:spacing w:val="3"/>
                <w:sz w:val="21"/>
                <w:szCs w:val="21"/>
                <w:highlight w:val="none"/>
                <w:lang w:val="en-US" w:eastAsia="zh-CN"/>
              </w:rPr>
              <w:t>该项目配套耗材包括开展该项目所需的各种校准品、质控品、清洗液、反应杯等，纳入配套试剂中计算，不在支付一切相关费用。</w:t>
            </w:r>
          </w:p>
        </w:tc>
      </w:tr>
    </w:tbl>
    <w:p w14:paraId="6BF1B219">
      <w:pPr>
        <w:snapToGrid w:val="0"/>
        <w:spacing w:line="500" w:lineRule="exact"/>
        <w:ind w:firstLine="4830" w:firstLineChars="230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供应商：（须加盖公章）</w:t>
      </w:r>
    </w:p>
    <w:p w14:paraId="088BE8BD">
      <w:pPr>
        <w:snapToGrid w:val="0"/>
        <w:spacing w:line="500" w:lineRule="exact"/>
        <w:ind w:firstLine="4830" w:firstLineChars="230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法定代表人或被委托受权人（签字）：</w:t>
      </w:r>
    </w:p>
    <w:p w14:paraId="5B8D49D6">
      <w:pPr>
        <w:snapToGrid w:val="0"/>
        <w:spacing w:line="500" w:lineRule="exact"/>
        <w:ind w:firstLine="4830" w:firstLineChars="230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日期：</w:t>
      </w:r>
    </w:p>
    <w:p w14:paraId="579ED1DA">
      <w:pPr>
        <w:snapToGrid w:val="0"/>
        <w:spacing w:line="500" w:lineRule="exact"/>
        <w:ind w:firstLine="480" w:firstLineChars="2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注：</w:t>
      </w:r>
    </w:p>
    <w:p w14:paraId="64ADCBF5">
      <w:pPr>
        <w:pStyle w:val="25"/>
        <w:bidi w:val="0"/>
        <w:rPr>
          <w:rFonts w:hint="eastAsia"/>
          <w:color w:val="auto"/>
          <w:highlight w:val="none"/>
          <w:lang w:val="en-US" w:eastAsia="zh-CN"/>
        </w:rPr>
      </w:pPr>
      <w:r>
        <w:rPr>
          <w:rFonts w:hint="eastAsia"/>
          <w:color w:val="auto"/>
          <w:highlight w:val="none"/>
          <w:lang w:val="en-US" w:eastAsia="zh-CN"/>
        </w:rPr>
        <w:t>1.供应商报价可选择“重庆市药品和医用耗材招采管理系统”的“挂网价”或“备案价”两种方式：选择“挂网价”报价的，最终报价不得高于该平台最低价；选择“备案”报价的，最终报价必须低于该平台最低价（需提供报价承诺函）。</w:t>
      </w:r>
    </w:p>
    <w:p w14:paraId="71DC41E8">
      <w:pPr>
        <w:pStyle w:val="25"/>
        <w:bidi w:val="0"/>
        <w:rPr>
          <w:rFonts w:hint="eastAsia"/>
          <w:color w:val="auto"/>
          <w:lang w:val="en-US" w:eastAsia="zh-CN"/>
        </w:rPr>
      </w:pPr>
      <w:r>
        <w:rPr>
          <w:rFonts w:hint="eastAsia"/>
          <w:color w:val="auto"/>
          <w:highlight w:val="none"/>
          <w:lang w:val="en-US" w:eastAsia="zh-CN"/>
        </w:rPr>
        <w:t>2.设备配套的试剂由供应商根据所提供的设备及采购要求的</w:t>
      </w:r>
      <w:r>
        <w:rPr>
          <w:rFonts w:hint="eastAsia"/>
          <w:color w:val="auto"/>
          <w:lang w:val="en-US" w:eastAsia="zh-CN"/>
        </w:rPr>
        <w:t>项目进行配置，并在响应文件中添加</w:t>
      </w:r>
      <w:r>
        <w:rPr>
          <w:rFonts w:hint="eastAsia"/>
          <w:color w:val="auto"/>
          <w:highlight w:val="none"/>
          <w:lang w:val="en-US" w:eastAsia="zh-CN"/>
        </w:rPr>
        <w:t>。</w:t>
      </w:r>
      <w:r>
        <w:rPr>
          <w:rFonts w:hint="eastAsia"/>
          <w:color w:val="auto"/>
          <w:lang w:val="en-US" w:eastAsia="zh-CN"/>
        </w:rPr>
        <w:t>供应商必须确保所提供的所有试剂和耗材能满足项目开展和设备的使用需要。</w:t>
      </w:r>
    </w:p>
    <w:p w14:paraId="4FAAC161">
      <w:pPr>
        <w:pStyle w:val="25"/>
        <w:bidi w:val="0"/>
        <w:rPr>
          <w:rFonts w:hint="default" w:hAnsi="宋体" w:cs="Times New Roman"/>
          <w:b w:val="0"/>
          <w:bCs/>
          <w:color w:val="auto"/>
          <w:kern w:val="2"/>
          <w:sz w:val="24"/>
          <w:szCs w:val="24"/>
          <w:lang w:val="en-US" w:eastAsia="zh-CN" w:bidi="ar-SA"/>
        </w:rPr>
      </w:pPr>
      <w:r>
        <w:rPr>
          <w:rFonts w:hint="eastAsia"/>
          <w:color w:val="auto"/>
          <w:highlight w:val="none"/>
          <w:lang w:val="en-US" w:eastAsia="zh-CN"/>
        </w:rPr>
        <w:t>3.检验配套试剂</w:t>
      </w:r>
      <w:r>
        <w:rPr>
          <w:rFonts w:hint="eastAsia" w:ascii="方正仿宋_GBK" w:hAnsi="方正仿宋_GBK" w:eastAsia="方正仿宋_GBK" w:cs="方正仿宋_GBK"/>
          <w:color w:val="auto"/>
          <w:kern w:val="2"/>
          <w:sz w:val="24"/>
          <w:szCs w:val="24"/>
          <w:highlight w:val="none"/>
          <w:lang w:val="en-US" w:eastAsia="zh-CN" w:bidi="ar-SA"/>
        </w:rPr>
        <w:t>不分规格，</w:t>
      </w:r>
      <w:r>
        <w:rPr>
          <w:rFonts w:hint="eastAsia" w:cs="方正仿宋_GBK"/>
          <w:color w:val="auto"/>
          <w:kern w:val="2"/>
          <w:sz w:val="24"/>
          <w:szCs w:val="24"/>
          <w:highlight w:val="none"/>
          <w:lang w:val="en-US" w:eastAsia="zh-CN" w:bidi="ar-SA"/>
        </w:rPr>
        <w:t>均</w:t>
      </w:r>
      <w:r>
        <w:rPr>
          <w:rFonts w:hint="eastAsia"/>
          <w:color w:val="auto"/>
          <w:highlight w:val="none"/>
          <w:lang w:val="en-US" w:eastAsia="zh-CN"/>
        </w:rPr>
        <w:t>按照单人份价格进行报价和结算，</w:t>
      </w:r>
      <w:r>
        <w:rPr>
          <w:rFonts w:hint="eastAsia" w:ascii="方正仿宋_GBK" w:hAnsi="宋体" w:eastAsia="方正仿宋_GBK" w:cs="Times New Roman"/>
          <w:b w:val="0"/>
          <w:bCs/>
          <w:color w:val="auto"/>
          <w:kern w:val="2"/>
          <w:sz w:val="24"/>
          <w:szCs w:val="24"/>
          <w:lang w:val="en-US" w:eastAsia="zh-CN" w:bidi="ar-SA"/>
        </w:rPr>
        <w:t>报价不高于药交所挂网最低价，且不超过二级甲等综合医院该项目收费标准的30%。</w:t>
      </w:r>
      <w:r>
        <w:rPr>
          <w:rFonts w:hint="eastAsia" w:hAnsi="宋体" w:cs="Times New Roman"/>
          <w:b w:val="0"/>
          <w:bCs/>
          <w:color w:val="auto"/>
          <w:kern w:val="2"/>
          <w:sz w:val="24"/>
          <w:szCs w:val="24"/>
          <w:lang w:val="en-US" w:eastAsia="zh-CN" w:bidi="ar-SA"/>
        </w:rPr>
        <w:t>该项目配套耗材包括开展该项目所需的各种</w:t>
      </w:r>
      <w:r>
        <w:rPr>
          <w:rFonts w:hint="eastAsia"/>
          <w:color w:val="auto"/>
          <w:lang w:val="en-US" w:eastAsia="zh-CN"/>
        </w:rPr>
        <w:t>校准品、质控品、清洗液、反应杯等，纳入配套试剂中计算，不在支付一切相关费用。</w:t>
      </w:r>
    </w:p>
    <w:p w14:paraId="4C357B2F">
      <w:pPr>
        <w:pStyle w:val="25"/>
        <w:bidi w:val="0"/>
        <w:rPr>
          <w:rFonts w:hint="eastAsia"/>
          <w:color w:val="auto"/>
          <w:highlight w:val="none"/>
          <w:lang w:val="en-US" w:eastAsia="zh-CN"/>
        </w:rPr>
      </w:pPr>
      <w:r>
        <w:rPr>
          <w:rFonts w:hint="eastAsia" w:hAnsi="宋体" w:cs="Times New Roman"/>
          <w:b w:val="0"/>
          <w:bCs/>
          <w:color w:val="auto"/>
          <w:sz w:val="24"/>
          <w:szCs w:val="24"/>
          <w:lang w:val="en-US" w:eastAsia="zh-CN"/>
        </w:rPr>
        <w:t>4.</w:t>
      </w:r>
      <w:r>
        <w:rPr>
          <w:rFonts w:hint="eastAsia"/>
          <w:color w:val="auto"/>
          <w:highlight w:val="none"/>
          <w:lang w:val="en-US" w:eastAsia="zh-CN"/>
        </w:rPr>
        <w:t>若所响应的耗材</w:t>
      </w:r>
      <w:r>
        <w:rPr>
          <w:rFonts w:hint="eastAsia" w:ascii="方正仿宋_GBK" w:hAnsi="宋体" w:eastAsia="方正仿宋_GBK" w:cs="Times New Roman"/>
          <w:b w:val="0"/>
          <w:bCs/>
          <w:color w:val="auto"/>
          <w:sz w:val="24"/>
          <w:szCs w:val="24"/>
          <w:lang w:val="en-US" w:eastAsia="zh-CN"/>
        </w:rPr>
        <w:t>/试剂属于与非开放性医疗设备配套使用的专用耗材，则供应商必须在响应文件中提交以下材料：①《非开放性医疗设备配套使用的专用耗材承诺书》（格式自拟），书面声明其耗材/试剂的</w:t>
      </w:r>
      <w:r>
        <w:rPr>
          <w:rFonts w:hint="eastAsia" w:hAnsi="宋体" w:cs="Times New Roman"/>
          <w:b w:val="0"/>
          <w:bCs/>
          <w:color w:val="auto"/>
          <w:sz w:val="24"/>
          <w:szCs w:val="24"/>
          <w:lang w:val="en-US" w:eastAsia="zh-CN"/>
        </w:rPr>
        <w:t>非开放性</w:t>
      </w:r>
      <w:r>
        <w:rPr>
          <w:rFonts w:hint="eastAsia"/>
          <w:color w:val="auto"/>
          <w:highlight w:val="none"/>
          <w:lang w:val="en-US" w:eastAsia="zh-CN"/>
        </w:rPr>
        <w:t>属性，并承诺不会因技术、授权等问题导致后续供应中断，若供应商违反上述承诺，因技术、授权等问题导致耗材/试剂后续供应中断的，医院有权无条件提前解除设备及耗材/试剂采购合同，供应商应退返折算后的残值金额（依据医院管理制度规定，从应当支付的耗材款中扣除），医院无需承担任何违约责任。</w:t>
      </w:r>
    </w:p>
    <w:p w14:paraId="5568395B">
      <w:pPr>
        <w:pStyle w:val="25"/>
        <w:bidi w:val="0"/>
        <w:rPr>
          <w:rFonts w:hint="eastAsia"/>
          <w:color w:val="auto"/>
          <w:highlight w:val="none"/>
          <w:lang w:val="en-US" w:eastAsia="zh-CN"/>
        </w:rPr>
      </w:pPr>
      <w:r>
        <w:rPr>
          <w:rFonts w:hint="eastAsia"/>
          <w:color w:val="auto"/>
          <w:highlight w:val="none"/>
          <w:lang w:val="en-US" w:eastAsia="zh-CN"/>
        </w:rPr>
        <w:t>5.若药交所规则、集采等政策因素调整，试剂、耗材供应价格下降，低于供应商承诺的试剂价格（单人份价格）的，根据降低后的最低交易价（单人份价格）实时调整、据实结算。配套使用的试剂需为重庆药品和医用耗材招采管理系统挂网产品（挂网价或备案价），供应商需承诺此类试剂后续供应价不高于本次承诺报价。</w:t>
      </w:r>
    </w:p>
    <w:p w14:paraId="12DA729D">
      <w:pPr>
        <w:pStyle w:val="25"/>
        <w:bidi w:val="0"/>
        <w:rPr>
          <w:rFonts w:hint="eastAsia"/>
          <w:color w:val="auto"/>
          <w:highlight w:val="none"/>
          <w:lang w:val="en-US" w:eastAsia="zh-CN"/>
        </w:rPr>
      </w:pPr>
      <w:r>
        <w:rPr>
          <w:rFonts w:hint="eastAsia"/>
          <w:color w:val="auto"/>
          <w:highlight w:val="none"/>
          <w:lang w:val="en-US" w:eastAsia="zh-CN"/>
        </w:rPr>
        <w:t>6.供应商必须提交规范正确的国家医保码和重庆医保认可的流水号，否则供应商必须赔偿医院因耗材无法收费及报销形成的损失，无条件办理退货和退款，若收费问题最终无法解决，合同将自动解除，并按虚假应标处理。若设备使用过程中，新增或被纳入重庆医保收费系统的，供应商必须及时主动提交书面情况给采购人。</w:t>
      </w:r>
    </w:p>
    <w:p w14:paraId="7C6128C5">
      <w:pPr>
        <w:pStyle w:val="25"/>
        <w:bidi w:val="0"/>
        <w:rPr>
          <w:rFonts w:hint="eastAsia"/>
          <w:color w:val="auto"/>
          <w:highlight w:val="none"/>
          <w:lang w:val="en-US" w:eastAsia="zh-CN"/>
        </w:rPr>
      </w:pPr>
      <w:r>
        <w:rPr>
          <w:rFonts w:hint="eastAsia"/>
          <w:color w:val="auto"/>
          <w:highlight w:val="none"/>
          <w:lang w:val="en-US" w:eastAsia="zh-CN"/>
        </w:rPr>
        <w:t>7.第二次报价仅接受等于或低于供应商的首次报价，否则作无效采购响应处理。</w:t>
      </w:r>
    </w:p>
    <w:p w14:paraId="1A87188B">
      <w:pPr>
        <w:pStyle w:val="25"/>
        <w:bidi w:val="0"/>
        <w:rPr>
          <w:rFonts w:hint="eastAsia"/>
          <w:color w:val="auto"/>
          <w:highlight w:val="none"/>
          <w:lang w:val="en-US" w:eastAsia="zh-CN"/>
        </w:rPr>
      </w:pPr>
      <w:r>
        <w:rPr>
          <w:rFonts w:hint="eastAsia"/>
          <w:color w:val="auto"/>
          <w:highlight w:val="none"/>
          <w:lang w:val="en-US" w:eastAsia="zh-CN"/>
        </w:rPr>
        <w:t>8.项目实施过程中，供应商不得以任何借口增加项目，另行收取额外或其他费用。</w:t>
      </w:r>
    </w:p>
    <w:p w14:paraId="0E4C4AA4">
      <w:pPr>
        <w:pStyle w:val="25"/>
        <w:bidi w:val="0"/>
        <w:rPr>
          <w:rFonts w:hint="default"/>
          <w:color w:val="auto"/>
          <w:highlight w:val="none"/>
          <w:lang w:val="en-US" w:eastAsia="zh-CN"/>
        </w:rPr>
      </w:pPr>
    </w:p>
    <w:p w14:paraId="7DFBD75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方正仿宋_GBK" w:cs="Times New Roman"/>
          <w:color w:val="auto"/>
          <w:sz w:val="24"/>
          <w:szCs w:val="28"/>
        </w:rPr>
        <w:sectPr>
          <w:headerReference r:id="rId8" w:type="default"/>
          <w:pgSz w:w="11907" w:h="16840"/>
          <w:pgMar w:top="1134" w:right="1191" w:bottom="1134" w:left="1304" w:header="851" w:footer="992" w:gutter="0"/>
          <w:pgNumType w:fmt="decimal"/>
          <w:cols w:space="720" w:num="1"/>
          <w:docGrid w:linePitch="380" w:charSpace="-5735"/>
        </w:sectPr>
      </w:pPr>
    </w:p>
    <w:p w14:paraId="0ABD58B9">
      <w:pPr>
        <w:pStyle w:val="26"/>
        <w:numPr>
          <w:ilvl w:val="0"/>
          <w:numId w:val="0"/>
        </w:numPr>
        <w:bidi w:val="0"/>
        <w:ind w:firstLine="480" w:firstLineChars="200"/>
        <w:rPr>
          <w:rFonts w:hint="default" w:ascii="Times New Roman" w:hAnsi="Times New Roman" w:cs="Times New Roman"/>
          <w:color w:val="auto"/>
          <w:highlight w:val="none"/>
          <w:lang w:val="en-US" w:eastAsia="zh-CN"/>
        </w:rPr>
      </w:pPr>
      <w:bookmarkStart w:id="61" w:name="_Toc106030907"/>
      <w:bookmarkStart w:id="62" w:name="_Toc313888361"/>
      <w:bookmarkStart w:id="63" w:name="_Toc342913420"/>
      <w:bookmarkStart w:id="64" w:name="_Toc313008357"/>
      <w:bookmarkStart w:id="65" w:name="_Toc76462351"/>
      <w:r>
        <w:rPr>
          <w:rFonts w:hint="default" w:ascii="Times New Roman" w:hAnsi="Times New Roman" w:cs="Times New Roman"/>
          <w:color w:val="auto"/>
          <w:highlight w:val="none"/>
          <w:lang w:val="en-US" w:eastAsia="zh-CN"/>
        </w:rPr>
        <w:t>二、</w:t>
      </w:r>
      <w:r>
        <w:rPr>
          <w:rFonts w:hint="eastAsia" w:ascii="Times New Roman" w:hAnsi="Times New Roman" w:cs="Times New Roman"/>
          <w:color w:val="auto"/>
          <w:highlight w:val="none"/>
          <w:lang w:val="en-US" w:eastAsia="zh-CN"/>
        </w:rPr>
        <w:t>技术</w:t>
      </w:r>
      <w:r>
        <w:rPr>
          <w:rFonts w:hint="default" w:ascii="Times New Roman" w:hAnsi="Times New Roman" w:cs="Times New Roman"/>
          <w:color w:val="auto"/>
          <w:highlight w:val="none"/>
          <w:lang w:val="en-US" w:eastAsia="zh-CN"/>
        </w:rPr>
        <w:t>部分</w:t>
      </w:r>
      <w:bookmarkEnd w:id="61"/>
      <w:bookmarkEnd w:id="62"/>
      <w:bookmarkEnd w:id="63"/>
      <w:bookmarkEnd w:id="64"/>
      <w:bookmarkEnd w:id="65"/>
    </w:p>
    <w:p w14:paraId="6D1F2029">
      <w:pPr>
        <w:tabs>
          <w:tab w:val="left" w:pos="6300"/>
        </w:tabs>
        <w:snapToGrid w:val="0"/>
        <w:spacing w:line="400" w:lineRule="exact"/>
        <w:ind w:firstLine="480" w:firstLineChars="200"/>
        <w:rPr>
          <w:rFonts w:hint="default" w:ascii="Times New Roman" w:hAnsi="Times New Roman" w:eastAsia="方正仿宋_GBK" w:cs="Times New Roman"/>
          <w:color w:val="auto"/>
          <w:szCs w:val="24"/>
        </w:rPr>
      </w:pPr>
      <w:r>
        <w:rPr>
          <w:rFonts w:hint="default" w:ascii="Times New Roman" w:hAnsi="Times New Roman" w:eastAsia="方正仿宋_GBK" w:cs="Times New Roman"/>
          <w:color w:val="auto"/>
          <w:sz w:val="24"/>
          <w:szCs w:val="24"/>
        </w:rPr>
        <w:t>（一）</w:t>
      </w:r>
      <w:r>
        <w:rPr>
          <w:rFonts w:hint="eastAsia" w:eastAsia="方正仿宋_GBK" w:cs="Times New Roman"/>
          <w:color w:val="auto"/>
          <w:sz w:val="24"/>
          <w:szCs w:val="24"/>
          <w:lang w:val="en-US" w:eastAsia="zh-CN"/>
        </w:rPr>
        <w:t>技术</w:t>
      </w:r>
      <w:r>
        <w:rPr>
          <w:rFonts w:hint="eastAsia" w:ascii="Times New Roman" w:hAnsi="Times New Roman" w:eastAsia="方正仿宋_GBK" w:cs="Times New Roman"/>
          <w:color w:val="auto"/>
          <w:sz w:val="24"/>
          <w:szCs w:val="24"/>
          <w:lang w:val="en-US" w:eastAsia="zh-CN"/>
        </w:rPr>
        <w:t>要求</w:t>
      </w:r>
      <w:r>
        <w:rPr>
          <w:rFonts w:hint="default" w:ascii="Times New Roman" w:hAnsi="Times New Roman" w:eastAsia="方正仿宋_GBK" w:cs="Times New Roman"/>
          <w:color w:val="auto"/>
          <w:sz w:val="24"/>
          <w:szCs w:val="24"/>
        </w:rPr>
        <w:t>偏离表</w:t>
      </w:r>
    </w:p>
    <w:p w14:paraId="05315635">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p w14:paraId="52EEBEBF">
      <w:pPr>
        <w:pStyle w:val="25"/>
        <w:bidi w:val="0"/>
        <w:rPr>
          <w:rFonts w:hint="default" w:ascii="Times New Roman" w:hAnsi="Times New Roman" w:eastAsia="方正仿宋_GBK" w:cs="Times New Roman"/>
          <w:color w:val="auto"/>
          <w:sz w:val="24"/>
          <w:szCs w:val="24"/>
        </w:rPr>
      </w:pPr>
      <w:r>
        <w:rPr>
          <w:rFonts w:hint="default" w:ascii="Times New Roman" w:hAnsi="Times New Roman" w:cs="Times New Roman"/>
          <w:color w:val="auto"/>
          <w:highlight w:val="none"/>
        </w:rPr>
        <w:t>包号及名称</w:t>
      </w:r>
      <w:r>
        <w:rPr>
          <w:rFonts w:hint="default" w:ascii="Times New Roman" w:hAnsi="Times New Roman" w:cs="Times New Roman"/>
          <w:color w:val="auto"/>
          <w:highlight w:val="none"/>
          <w:lang w:eastAsia="zh-CN"/>
        </w:rPr>
        <w:t>：</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5629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558C5AFF">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序号</w:t>
            </w:r>
          </w:p>
        </w:tc>
        <w:tc>
          <w:tcPr>
            <w:tcW w:w="2967" w:type="dxa"/>
            <w:noWrap w:val="0"/>
            <w:vAlign w:val="center"/>
          </w:tcPr>
          <w:p w14:paraId="44520D81">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4"/>
                <w:lang w:eastAsia="zh-CN"/>
              </w:rPr>
              <w:t>比选</w:t>
            </w:r>
            <w:r>
              <w:rPr>
                <w:rFonts w:hint="eastAsia" w:ascii="Times New Roman" w:hAnsi="Times New Roman" w:eastAsia="方正仿宋_GBK" w:cs="Times New Roman"/>
                <w:color w:val="auto"/>
                <w:sz w:val="21"/>
                <w:szCs w:val="24"/>
                <w:lang w:val="en-US" w:eastAsia="zh-CN"/>
              </w:rPr>
              <w:t>文件技术要求</w:t>
            </w:r>
          </w:p>
        </w:tc>
        <w:tc>
          <w:tcPr>
            <w:tcW w:w="3081" w:type="dxa"/>
            <w:noWrap w:val="0"/>
            <w:vAlign w:val="center"/>
          </w:tcPr>
          <w:p w14:paraId="72B72711">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响应情况</w:t>
            </w:r>
          </w:p>
        </w:tc>
        <w:tc>
          <w:tcPr>
            <w:tcW w:w="2309" w:type="dxa"/>
            <w:noWrap w:val="0"/>
            <w:vAlign w:val="center"/>
          </w:tcPr>
          <w:p w14:paraId="3BB4C3F4">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4"/>
              </w:rPr>
              <w:t>偏离</w:t>
            </w:r>
            <w:r>
              <w:rPr>
                <w:rFonts w:hint="default" w:ascii="Times New Roman" w:hAnsi="Times New Roman" w:eastAsia="方正仿宋_GBK" w:cs="Times New Roman"/>
                <w:color w:val="auto"/>
                <w:sz w:val="21"/>
                <w:szCs w:val="21"/>
              </w:rPr>
              <w:t>说明</w:t>
            </w:r>
          </w:p>
        </w:tc>
      </w:tr>
      <w:tr w14:paraId="1F21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E89EF9F">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967" w:type="dxa"/>
            <w:noWrap w:val="0"/>
            <w:vAlign w:val="center"/>
          </w:tcPr>
          <w:p w14:paraId="33AEE199">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3081" w:type="dxa"/>
            <w:noWrap w:val="0"/>
            <w:vAlign w:val="center"/>
          </w:tcPr>
          <w:p w14:paraId="4FF4EE49">
            <w:pPr>
              <w:tabs>
                <w:tab w:val="left" w:pos="6300"/>
              </w:tabs>
              <w:snapToGrid w:val="0"/>
              <w:spacing w:line="500" w:lineRule="exact"/>
              <w:outlineLvl w:val="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提醒：请注明技术参数或具体内容以及响应文件中技术参数或具体内容的位置（页码）</w:t>
            </w:r>
          </w:p>
        </w:tc>
        <w:tc>
          <w:tcPr>
            <w:tcW w:w="2309" w:type="dxa"/>
            <w:noWrap w:val="0"/>
            <w:vAlign w:val="center"/>
          </w:tcPr>
          <w:p w14:paraId="5A4419FD">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r>
      <w:tr w14:paraId="1CA5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F66B009">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967" w:type="dxa"/>
            <w:noWrap w:val="0"/>
            <w:vAlign w:val="center"/>
          </w:tcPr>
          <w:p w14:paraId="231C94A5">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3081" w:type="dxa"/>
            <w:noWrap w:val="0"/>
            <w:vAlign w:val="center"/>
          </w:tcPr>
          <w:p w14:paraId="1164C244">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309" w:type="dxa"/>
            <w:noWrap w:val="0"/>
            <w:vAlign w:val="center"/>
          </w:tcPr>
          <w:p w14:paraId="43D0DBD7">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r>
      <w:tr w14:paraId="2571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0F9AB34">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967" w:type="dxa"/>
            <w:noWrap w:val="0"/>
            <w:vAlign w:val="center"/>
          </w:tcPr>
          <w:p w14:paraId="30238C1C">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3081" w:type="dxa"/>
            <w:noWrap w:val="0"/>
            <w:vAlign w:val="center"/>
          </w:tcPr>
          <w:p w14:paraId="2BDCD69B">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309" w:type="dxa"/>
            <w:noWrap w:val="0"/>
            <w:vAlign w:val="center"/>
          </w:tcPr>
          <w:p w14:paraId="05E5025C">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r>
      <w:tr w14:paraId="0F62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53E551E">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967" w:type="dxa"/>
            <w:noWrap w:val="0"/>
            <w:vAlign w:val="center"/>
          </w:tcPr>
          <w:p w14:paraId="6820080A">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3081" w:type="dxa"/>
            <w:noWrap w:val="0"/>
            <w:vAlign w:val="center"/>
          </w:tcPr>
          <w:p w14:paraId="40846221">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309" w:type="dxa"/>
            <w:noWrap w:val="0"/>
            <w:vAlign w:val="center"/>
          </w:tcPr>
          <w:p w14:paraId="1D4ABE08">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r>
      <w:tr w14:paraId="1FB7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2C4016E">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967" w:type="dxa"/>
            <w:noWrap w:val="0"/>
            <w:vAlign w:val="center"/>
          </w:tcPr>
          <w:p w14:paraId="24154107">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3081" w:type="dxa"/>
            <w:noWrap w:val="0"/>
            <w:vAlign w:val="center"/>
          </w:tcPr>
          <w:p w14:paraId="65F39F9D">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309" w:type="dxa"/>
            <w:noWrap w:val="0"/>
            <w:vAlign w:val="center"/>
          </w:tcPr>
          <w:p w14:paraId="133D93E4">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r>
      <w:tr w14:paraId="18BB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786E689">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967" w:type="dxa"/>
            <w:noWrap w:val="0"/>
            <w:vAlign w:val="center"/>
          </w:tcPr>
          <w:p w14:paraId="37B44949">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3081" w:type="dxa"/>
            <w:noWrap w:val="0"/>
            <w:vAlign w:val="center"/>
          </w:tcPr>
          <w:p w14:paraId="0554B0B4">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309" w:type="dxa"/>
            <w:noWrap w:val="0"/>
            <w:vAlign w:val="center"/>
          </w:tcPr>
          <w:p w14:paraId="262FB632">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r>
      <w:tr w14:paraId="4B36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DE4B2ED">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967" w:type="dxa"/>
            <w:noWrap w:val="0"/>
            <w:vAlign w:val="center"/>
          </w:tcPr>
          <w:p w14:paraId="0D0DC6C2">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3081" w:type="dxa"/>
            <w:noWrap w:val="0"/>
            <w:vAlign w:val="center"/>
          </w:tcPr>
          <w:p w14:paraId="3331DFDC">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309" w:type="dxa"/>
            <w:noWrap w:val="0"/>
            <w:vAlign w:val="center"/>
          </w:tcPr>
          <w:p w14:paraId="2253994E">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r>
      <w:tr w14:paraId="365C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21ED017">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967" w:type="dxa"/>
            <w:noWrap w:val="0"/>
            <w:vAlign w:val="center"/>
          </w:tcPr>
          <w:p w14:paraId="1C0E165D">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3081" w:type="dxa"/>
            <w:noWrap w:val="0"/>
            <w:vAlign w:val="center"/>
          </w:tcPr>
          <w:p w14:paraId="27AD87E4">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309" w:type="dxa"/>
            <w:noWrap w:val="0"/>
            <w:vAlign w:val="center"/>
          </w:tcPr>
          <w:p w14:paraId="489B9CE9">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r>
      <w:tr w14:paraId="10DA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8166283">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967" w:type="dxa"/>
            <w:noWrap w:val="0"/>
            <w:vAlign w:val="center"/>
          </w:tcPr>
          <w:p w14:paraId="6C5DD7B8">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3081" w:type="dxa"/>
            <w:noWrap w:val="0"/>
            <w:vAlign w:val="center"/>
          </w:tcPr>
          <w:p w14:paraId="77DC37B0">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309" w:type="dxa"/>
            <w:noWrap w:val="0"/>
            <w:vAlign w:val="center"/>
          </w:tcPr>
          <w:p w14:paraId="3966E419">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r>
      <w:tr w14:paraId="3461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2132849">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967" w:type="dxa"/>
            <w:noWrap w:val="0"/>
            <w:vAlign w:val="center"/>
          </w:tcPr>
          <w:p w14:paraId="03EF0C28">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3081" w:type="dxa"/>
            <w:noWrap w:val="0"/>
            <w:vAlign w:val="center"/>
          </w:tcPr>
          <w:p w14:paraId="77AA921E">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c>
          <w:tcPr>
            <w:tcW w:w="2309" w:type="dxa"/>
            <w:noWrap w:val="0"/>
            <w:vAlign w:val="center"/>
          </w:tcPr>
          <w:p w14:paraId="148C62F2">
            <w:pPr>
              <w:tabs>
                <w:tab w:val="left" w:pos="6300"/>
              </w:tabs>
              <w:snapToGrid w:val="0"/>
              <w:spacing w:line="500" w:lineRule="exact"/>
              <w:jc w:val="center"/>
              <w:outlineLvl w:val="0"/>
              <w:rPr>
                <w:rFonts w:hint="default" w:ascii="Times New Roman" w:hAnsi="Times New Roman" w:eastAsia="方正仿宋_GBK" w:cs="Times New Roman"/>
                <w:color w:val="auto"/>
                <w:sz w:val="21"/>
                <w:szCs w:val="21"/>
              </w:rPr>
            </w:pPr>
          </w:p>
        </w:tc>
      </w:tr>
    </w:tbl>
    <w:p w14:paraId="75E1D879">
      <w:pPr>
        <w:spacing w:line="500" w:lineRule="exact"/>
        <w:ind w:firstLine="600" w:firstLineChars="25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供应商：                            </w:t>
      </w:r>
      <w:r>
        <w:rPr>
          <w:rFonts w:hint="default" w:ascii="Times New Roman" w:hAnsi="Times New Roman" w:eastAsia="方正仿宋_GBK" w:cs="Times New Roman"/>
          <w:color w:val="auto"/>
          <w:sz w:val="24"/>
          <w:szCs w:val="24"/>
        </w:rPr>
        <w:t>法定代表人（或其授权代表）或自然人：</w:t>
      </w:r>
    </w:p>
    <w:p w14:paraId="3CD608DA">
      <w:pPr>
        <w:spacing w:line="500" w:lineRule="exact"/>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    </w:t>
      </w:r>
    </w:p>
    <w:p w14:paraId="1DEFCBFB">
      <w:pPr>
        <w:spacing w:line="500" w:lineRule="exact"/>
        <w:ind w:firstLine="720" w:firstLineChars="3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（供应商公章）                               （签署或盖章）</w:t>
      </w:r>
    </w:p>
    <w:p w14:paraId="22D74061">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8"/>
        </w:rPr>
        <w:t xml:space="preserve">                                              年     月     日</w:t>
      </w:r>
    </w:p>
    <w:p w14:paraId="6A9A0B19">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注：</w:t>
      </w:r>
    </w:p>
    <w:p w14:paraId="4B32A0C8">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rPr>
        <w:t>.</w:t>
      </w:r>
      <w:r>
        <w:rPr>
          <w:rFonts w:hint="default" w:ascii="Times New Roman" w:hAnsi="Times New Roman" w:eastAsia="方正仿宋_GBK" w:cs="Times New Roman"/>
          <w:color w:val="auto"/>
          <w:sz w:val="24"/>
          <w:szCs w:val="24"/>
        </w:rPr>
        <w:t>本表即为对本项目</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第二篇</w:t>
      </w:r>
      <w:r>
        <w:rPr>
          <w:rFonts w:hint="eastAsia" w:eastAsia="方正仿宋_GBK" w:cs="Times New Roman"/>
          <w:color w:val="auto"/>
          <w:sz w:val="24"/>
          <w:szCs w:val="24"/>
          <w:lang w:val="en-US" w:eastAsia="zh-CN"/>
        </w:rPr>
        <w:t xml:space="preserve"> </w:t>
      </w:r>
      <w:r>
        <w:rPr>
          <w:rFonts w:hint="eastAsia" w:eastAsia="方正仿宋_GBK" w:cs="Times New Roman"/>
          <w:color w:val="auto"/>
          <w:sz w:val="24"/>
          <w:szCs w:val="24"/>
          <w:lang w:eastAsia="zh-CN"/>
        </w:rPr>
        <w:t>项目</w:t>
      </w:r>
      <w:r>
        <w:rPr>
          <w:rFonts w:hint="eastAsia" w:eastAsia="方正仿宋_GBK" w:cs="Times New Roman"/>
          <w:color w:val="auto"/>
          <w:sz w:val="24"/>
          <w:szCs w:val="24"/>
          <w:lang w:val="en-US" w:eastAsia="zh-CN"/>
        </w:rPr>
        <w:t>要求”</w:t>
      </w:r>
      <w:r>
        <w:rPr>
          <w:rFonts w:hint="default" w:ascii="Times New Roman" w:hAnsi="Times New Roman" w:eastAsia="方正仿宋_GBK" w:cs="Times New Roman"/>
          <w:color w:val="auto"/>
          <w:sz w:val="24"/>
          <w:szCs w:val="24"/>
        </w:rPr>
        <w:t>中所列条款进行比较和响应；</w:t>
      </w:r>
    </w:p>
    <w:p w14:paraId="19206656">
      <w:pPr>
        <w:snapToGrid w:val="0"/>
        <w:spacing w:line="400" w:lineRule="exact"/>
        <w:ind w:firstLine="480" w:firstLineChars="200"/>
        <w:jc w:val="lef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2.本表可扩展。</w:t>
      </w:r>
    </w:p>
    <w:p w14:paraId="46D0DC13">
      <w:pPr>
        <w:pStyle w:val="25"/>
        <w:rPr>
          <w:rFonts w:hint="default" w:ascii="Times New Roman" w:hAnsi="Times New Roman" w:cs="Times New Roman"/>
          <w:color w:val="auto"/>
        </w:rPr>
      </w:pPr>
      <w:r>
        <w:rPr>
          <w:rFonts w:hint="default" w:ascii="Times New Roman" w:hAnsi="Times New Roman" w:cs="Times New Roman"/>
          <w:color w:val="auto"/>
        </w:rPr>
        <w:t>3.可附相关技术支撑材料。（格式自定）</w:t>
      </w:r>
    </w:p>
    <w:p w14:paraId="65F14532">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4.应答栏中应当注明技术参数或具体内容，且必须标注技术参数或具体内容在</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中的位置（页码）。</w:t>
      </w:r>
    </w:p>
    <w:p w14:paraId="25F9F493">
      <w:pPr>
        <w:pStyle w:val="25"/>
        <w:bidi w:val="0"/>
        <w:rPr>
          <w:rFonts w:hint="default" w:ascii="Times New Roman" w:hAnsi="Times New Roman" w:cs="Times New Roman"/>
          <w:color w:val="auto"/>
          <w:highlight w:val="none"/>
        </w:rPr>
      </w:pPr>
      <w:r>
        <w:rPr>
          <w:rFonts w:hint="default" w:ascii="Times New Roman" w:hAnsi="Times New Roman" w:eastAsia="方正仿宋_GBK" w:cs="Times New Roman"/>
          <w:color w:val="auto"/>
          <w:szCs w:val="28"/>
          <w:highlight w:val="none"/>
        </w:rPr>
        <w:br w:type="page"/>
      </w:r>
      <w:r>
        <w:rPr>
          <w:rFonts w:hint="default" w:ascii="Times New Roman" w:hAnsi="Times New Roman" w:cs="Times New Roman"/>
          <w:color w:val="auto"/>
          <w:highlight w:val="none"/>
        </w:rPr>
        <w:t>（二）其他资料（格式自定）</w:t>
      </w:r>
    </w:p>
    <w:p w14:paraId="47587A3F">
      <w:pPr>
        <w:pStyle w:val="25"/>
        <w:bidi w:val="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（三）供应商应答产品响应技术参数证明材料</w:t>
      </w:r>
      <w:r>
        <w:rPr>
          <w:rFonts w:hint="eastAsia" w:ascii="Times New Roman" w:hAnsi="Times New Roman" w:cs="Times New Roman"/>
          <w:color w:val="auto"/>
          <w:highlight w:val="none"/>
          <w:lang w:eastAsia="zh-CN"/>
        </w:rPr>
        <w:t>（如果有，</w:t>
      </w:r>
      <w:r>
        <w:rPr>
          <w:rFonts w:hint="default" w:ascii="Times New Roman" w:hAnsi="Times New Roman" w:cs="Times New Roman"/>
          <w:color w:val="auto"/>
          <w:highlight w:val="none"/>
        </w:rPr>
        <w:t>格式自定</w:t>
      </w:r>
      <w:r>
        <w:rPr>
          <w:rFonts w:hint="eastAsia" w:ascii="Times New Roman" w:hAnsi="Times New Roman" w:cs="Times New Roman"/>
          <w:color w:val="auto"/>
          <w:highlight w:val="none"/>
          <w:lang w:eastAsia="zh-CN"/>
        </w:rPr>
        <w:t>）</w:t>
      </w:r>
    </w:p>
    <w:p w14:paraId="368DE3D2">
      <w:pPr>
        <w:rPr>
          <w:rFonts w:hint="default" w:ascii="Times New Roman" w:hAnsi="Times New Roman" w:eastAsia="方正仿宋_GBK" w:cs="Times New Roman"/>
          <w:color w:val="auto"/>
          <w:szCs w:val="24"/>
          <w:highlight w:val="none"/>
        </w:rPr>
      </w:pPr>
      <w:r>
        <w:rPr>
          <w:rFonts w:hint="default" w:ascii="Times New Roman" w:hAnsi="Times New Roman" w:eastAsia="方正仿宋_GBK" w:cs="Times New Roman"/>
          <w:color w:val="auto"/>
          <w:szCs w:val="24"/>
          <w:highlight w:val="none"/>
        </w:rPr>
        <w:br w:type="page"/>
      </w:r>
    </w:p>
    <w:p w14:paraId="3F76E650">
      <w:pPr>
        <w:pStyle w:val="26"/>
        <w:numPr>
          <w:ilvl w:val="0"/>
          <w:numId w:val="0"/>
        </w:numPr>
        <w:bidi w:val="0"/>
        <w:ind w:firstLine="48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三、</w:t>
      </w:r>
      <w:r>
        <w:rPr>
          <w:rFonts w:hint="default" w:ascii="Times New Roman" w:hAnsi="Times New Roman" w:cs="Times New Roman"/>
          <w:color w:val="auto"/>
          <w:highlight w:val="none"/>
          <w:lang w:val="en-US" w:eastAsia="zh-CN"/>
        </w:rPr>
        <w:t>商务文件</w:t>
      </w:r>
    </w:p>
    <w:p w14:paraId="2F326F28">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）商务</w:t>
      </w:r>
      <w:r>
        <w:rPr>
          <w:rFonts w:hint="eastAsia" w:ascii="Times New Roman" w:hAnsi="Times New Roman" w:cs="Times New Roman"/>
          <w:color w:val="auto"/>
          <w:highlight w:val="none"/>
          <w:lang w:val="en-US" w:eastAsia="zh-CN"/>
        </w:rPr>
        <w:t>要求差异</w:t>
      </w:r>
      <w:r>
        <w:rPr>
          <w:rFonts w:hint="default" w:ascii="Times New Roman" w:hAnsi="Times New Roman" w:cs="Times New Roman"/>
          <w:color w:val="auto"/>
          <w:highlight w:val="none"/>
        </w:rPr>
        <w:t>表</w:t>
      </w:r>
    </w:p>
    <w:p w14:paraId="56BE4480">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p w14:paraId="18AF003A">
      <w:pPr>
        <w:pStyle w:val="25"/>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包号及名称</w:t>
      </w:r>
      <w:r>
        <w:rPr>
          <w:rFonts w:hint="default" w:ascii="Times New Roman" w:hAnsi="Times New Roman" w:cs="Times New Roman"/>
          <w:color w:val="auto"/>
          <w:highlight w:val="none"/>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502"/>
        <w:gridCol w:w="3081"/>
        <w:gridCol w:w="2307"/>
      </w:tblGrid>
      <w:tr w14:paraId="7E20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738" w:type="dxa"/>
            <w:vAlign w:val="center"/>
          </w:tcPr>
          <w:p w14:paraId="6F589E00">
            <w:pPr>
              <w:tabs>
                <w:tab w:val="left" w:pos="6300"/>
              </w:tabs>
              <w:snapToGrid w:val="0"/>
              <w:spacing w:line="240" w:lineRule="auto"/>
              <w:jc w:val="center"/>
              <w:outlineLvl w:val="0"/>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序号</w:t>
            </w:r>
          </w:p>
        </w:tc>
        <w:tc>
          <w:tcPr>
            <w:tcW w:w="3502" w:type="dxa"/>
            <w:vAlign w:val="center"/>
          </w:tcPr>
          <w:p w14:paraId="7D1EC795">
            <w:pPr>
              <w:tabs>
                <w:tab w:val="left" w:pos="6300"/>
              </w:tabs>
              <w:snapToGrid w:val="0"/>
              <w:spacing w:line="240" w:lineRule="auto"/>
              <w:jc w:val="center"/>
              <w:outlineLvl w:val="0"/>
              <w:rPr>
                <w:rFonts w:hint="default" w:ascii="Times New Roman" w:hAnsi="Times New Roman" w:eastAsia="方正黑体_GBK" w:cs="Times New Roman"/>
                <w:color w:val="auto"/>
                <w:sz w:val="21"/>
                <w:szCs w:val="21"/>
                <w:highlight w:val="none"/>
              </w:rPr>
            </w:pPr>
            <w:r>
              <w:rPr>
                <w:rFonts w:hint="eastAsia" w:eastAsia="方正黑体_GBK" w:cs="Times New Roman"/>
                <w:color w:val="auto"/>
                <w:sz w:val="21"/>
                <w:szCs w:val="21"/>
                <w:highlight w:val="none"/>
                <w:lang w:val="en-US" w:eastAsia="zh-CN"/>
              </w:rPr>
              <w:t>必选项目</w:t>
            </w:r>
            <w:r>
              <w:rPr>
                <w:rFonts w:hint="default" w:ascii="Times New Roman" w:hAnsi="Times New Roman" w:eastAsia="方正黑体_GBK" w:cs="Times New Roman"/>
                <w:color w:val="auto"/>
                <w:sz w:val="21"/>
                <w:szCs w:val="21"/>
                <w:highlight w:val="none"/>
              </w:rPr>
              <w:t>商务要求</w:t>
            </w:r>
          </w:p>
        </w:tc>
        <w:tc>
          <w:tcPr>
            <w:tcW w:w="3081" w:type="dxa"/>
            <w:vAlign w:val="center"/>
          </w:tcPr>
          <w:p w14:paraId="39DEA60D">
            <w:pPr>
              <w:tabs>
                <w:tab w:val="left" w:pos="6300"/>
              </w:tabs>
              <w:snapToGrid w:val="0"/>
              <w:spacing w:line="240" w:lineRule="auto"/>
              <w:jc w:val="center"/>
              <w:outlineLvl w:val="0"/>
              <w:rPr>
                <w:rFonts w:hint="eastAsia" w:ascii="Times New Roman" w:hAnsi="Times New Roman" w:eastAsia="方正黑体_GBK" w:cs="Times New Roman"/>
                <w:color w:val="auto"/>
                <w:sz w:val="21"/>
                <w:szCs w:val="21"/>
                <w:highlight w:val="none"/>
                <w:lang w:val="en-US" w:eastAsia="zh-CN"/>
              </w:rPr>
            </w:pPr>
            <w:r>
              <w:rPr>
                <w:rFonts w:hint="default" w:ascii="Times New Roman" w:hAnsi="Times New Roman" w:eastAsia="方正黑体_GBK" w:cs="Times New Roman"/>
                <w:color w:val="auto"/>
                <w:sz w:val="21"/>
                <w:szCs w:val="21"/>
                <w:highlight w:val="none"/>
              </w:rPr>
              <w:t>商务应答</w:t>
            </w:r>
            <w:r>
              <w:rPr>
                <w:rFonts w:hint="eastAsia" w:eastAsia="方正黑体_GBK" w:cs="Times New Roman"/>
                <w:color w:val="auto"/>
                <w:sz w:val="21"/>
                <w:szCs w:val="21"/>
                <w:highlight w:val="none"/>
                <w:lang w:val="en-US" w:eastAsia="zh-CN"/>
              </w:rPr>
              <w:t>情况</w:t>
            </w:r>
          </w:p>
        </w:tc>
        <w:tc>
          <w:tcPr>
            <w:tcW w:w="2307" w:type="dxa"/>
            <w:vAlign w:val="center"/>
          </w:tcPr>
          <w:p w14:paraId="5A6754E7">
            <w:pPr>
              <w:tabs>
                <w:tab w:val="left" w:pos="6300"/>
              </w:tabs>
              <w:snapToGrid w:val="0"/>
              <w:spacing w:line="240" w:lineRule="auto"/>
              <w:jc w:val="center"/>
              <w:outlineLvl w:val="0"/>
              <w:rPr>
                <w:rFonts w:hint="default" w:ascii="Times New Roman" w:hAnsi="Times New Roman" w:eastAsia="方正黑体_GBK" w:cs="Times New Roman"/>
                <w:color w:val="auto"/>
                <w:sz w:val="21"/>
                <w:szCs w:val="21"/>
                <w:highlight w:val="none"/>
              </w:rPr>
            </w:pPr>
            <w:r>
              <w:rPr>
                <w:rFonts w:hint="eastAsia" w:eastAsia="方正黑体_GBK" w:cs="Times New Roman"/>
                <w:color w:val="auto"/>
                <w:sz w:val="21"/>
                <w:szCs w:val="21"/>
                <w:highlight w:val="none"/>
                <w:lang w:val="en-US" w:eastAsia="zh-CN"/>
              </w:rPr>
              <w:t>偏离</w:t>
            </w:r>
            <w:r>
              <w:rPr>
                <w:rFonts w:hint="default" w:ascii="Times New Roman" w:hAnsi="Times New Roman" w:eastAsia="方正黑体_GBK" w:cs="Times New Roman"/>
                <w:color w:val="auto"/>
                <w:sz w:val="21"/>
                <w:szCs w:val="21"/>
                <w:highlight w:val="none"/>
              </w:rPr>
              <w:t>说明</w:t>
            </w:r>
          </w:p>
        </w:tc>
      </w:tr>
      <w:tr w14:paraId="2FE0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Align w:val="center"/>
          </w:tcPr>
          <w:p w14:paraId="53C2B21B">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502" w:type="dxa"/>
            <w:vAlign w:val="center"/>
          </w:tcPr>
          <w:p w14:paraId="65F2595D">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081" w:type="dxa"/>
            <w:vAlign w:val="center"/>
          </w:tcPr>
          <w:p w14:paraId="4BBDB572">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rPr>
              <w:t>提醒：请注明具体内容以及响应文件中具体内容的位置（页码）</w:t>
            </w:r>
          </w:p>
        </w:tc>
        <w:tc>
          <w:tcPr>
            <w:tcW w:w="2307" w:type="dxa"/>
            <w:vAlign w:val="center"/>
          </w:tcPr>
          <w:p w14:paraId="194BD53C">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r>
      <w:tr w14:paraId="210C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Align w:val="center"/>
          </w:tcPr>
          <w:p w14:paraId="09E15A81">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502" w:type="dxa"/>
            <w:vAlign w:val="center"/>
          </w:tcPr>
          <w:p w14:paraId="5AE27FDB">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081" w:type="dxa"/>
            <w:vAlign w:val="center"/>
          </w:tcPr>
          <w:p w14:paraId="1C505CCD">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2307" w:type="dxa"/>
            <w:vAlign w:val="center"/>
          </w:tcPr>
          <w:p w14:paraId="719BC0A2">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r>
      <w:tr w14:paraId="574C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Align w:val="center"/>
          </w:tcPr>
          <w:p w14:paraId="17D298CC">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502" w:type="dxa"/>
            <w:vAlign w:val="center"/>
          </w:tcPr>
          <w:p w14:paraId="175B27C4">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081" w:type="dxa"/>
            <w:vAlign w:val="center"/>
          </w:tcPr>
          <w:p w14:paraId="20C0E507">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2307" w:type="dxa"/>
            <w:vAlign w:val="center"/>
          </w:tcPr>
          <w:p w14:paraId="33B391D4">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r>
      <w:tr w14:paraId="560F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Align w:val="center"/>
          </w:tcPr>
          <w:p w14:paraId="329562B7">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502" w:type="dxa"/>
            <w:vAlign w:val="center"/>
          </w:tcPr>
          <w:p w14:paraId="03EA1294">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081" w:type="dxa"/>
            <w:vAlign w:val="center"/>
          </w:tcPr>
          <w:p w14:paraId="6F88D390">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2307" w:type="dxa"/>
            <w:vAlign w:val="center"/>
          </w:tcPr>
          <w:p w14:paraId="6A63D895">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r>
      <w:tr w14:paraId="701B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Align w:val="center"/>
          </w:tcPr>
          <w:p w14:paraId="2ADE8059">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502" w:type="dxa"/>
            <w:vAlign w:val="center"/>
          </w:tcPr>
          <w:p w14:paraId="2802E79E">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081" w:type="dxa"/>
            <w:vAlign w:val="center"/>
          </w:tcPr>
          <w:p w14:paraId="2E3AEE2A">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2307" w:type="dxa"/>
            <w:vAlign w:val="center"/>
          </w:tcPr>
          <w:p w14:paraId="069E9CCC">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r>
      <w:tr w14:paraId="30FC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Align w:val="center"/>
          </w:tcPr>
          <w:p w14:paraId="12D62543">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502" w:type="dxa"/>
            <w:vAlign w:val="center"/>
          </w:tcPr>
          <w:p w14:paraId="4097C1FE">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081" w:type="dxa"/>
            <w:vAlign w:val="center"/>
          </w:tcPr>
          <w:p w14:paraId="5B8ECD2D">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2307" w:type="dxa"/>
            <w:vAlign w:val="center"/>
          </w:tcPr>
          <w:p w14:paraId="7DA9F049">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r>
      <w:tr w14:paraId="4DB7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Align w:val="center"/>
          </w:tcPr>
          <w:p w14:paraId="76BD0E73">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502" w:type="dxa"/>
            <w:vAlign w:val="center"/>
          </w:tcPr>
          <w:p w14:paraId="65696F49">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081" w:type="dxa"/>
            <w:vAlign w:val="center"/>
          </w:tcPr>
          <w:p w14:paraId="3E603CA5">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2307" w:type="dxa"/>
            <w:vAlign w:val="center"/>
          </w:tcPr>
          <w:p w14:paraId="3C4AF5DB">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r>
      <w:tr w14:paraId="53F5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Align w:val="center"/>
          </w:tcPr>
          <w:p w14:paraId="45760EF3">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502" w:type="dxa"/>
            <w:vAlign w:val="center"/>
          </w:tcPr>
          <w:p w14:paraId="2847BCF6">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081" w:type="dxa"/>
            <w:vAlign w:val="center"/>
          </w:tcPr>
          <w:p w14:paraId="172253A2">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2307" w:type="dxa"/>
            <w:vAlign w:val="center"/>
          </w:tcPr>
          <w:p w14:paraId="6418A92D">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r>
      <w:tr w14:paraId="0030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Align w:val="center"/>
          </w:tcPr>
          <w:p w14:paraId="502B2FBB">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502" w:type="dxa"/>
            <w:vAlign w:val="center"/>
          </w:tcPr>
          <w:p w14:paraId="6D7BD64C">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081" w:type="dxa"/>
            <w:vAlign w:val="center"/>
          </w:tcPr>
          <w:p w14:paraId="6C324FE5">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2307" w:type="dxa"/>
            <w:vAlign w:val="center"/>
          </w:tcPr>
          <w:p w14:paraId="2BC01E33">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r>
      <w:tr w14:paraId="14AA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Align w:val="center"/>
          </w:tcPr>
          <w:p w14:paraId="78FA4C9B">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502" w:type="dxa"/>
            <w:vAlign w:val="center"/>
          </w:tcPr>
          <w:p w14:paraId="777D723B">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081" w:type="dxa"/>
            <w:vAlign w:val="center"/>
          </w:tcPr>
          <w:p w14:paraId="4558F6B8">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2307" w:type="dxa"/>
            <w:vAlign w:val="center"/>
          </w:tcPr>
          <w:p w14:paraId="5EA9A998">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r>
      <w:tr w14:paraId="1C14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Align w:val="center"/>
          </w:tcPr>
          <w:p w14:paraId="178A9705">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502" w:type="dxa"/>
            <w:vAlign w:val="center"/>
          </w:tcPr>
          <w:p w14:paraId="58E4E287">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3081" w:type="dxa"/>
            <w:vAlign w:val="center"/>
          </w:tcPr>
          <w:p w14:paraId="13117494">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c>
          <w:tcPr>
            <w:tcW w:w="2307" w:type="dxa"/>
            <w:vAlign w:val="center"/>
          </w:tcPr>
          <w:p w14:paraId="2F722045">
            <w:pPr>
              <w:tabs>
                <w:tab w:val="left" w:pos="6300"/>
              </w:tabs>
              <w:snapToGrid w:val="0"/>
              <w:spacing w:line="240" w:lineRule="auto"/>
              <w:jc w:val="center"/>
              <w:outlineLvl w:val="0"/>
              <w:rPr>
                <w:rFonts w:hint="default" w:ascii="Times New Roman" w:hAnsi="Times New Roman" w:eastAsia="方正仿宋_GBK" w:cs="Times New Roman"/>
                <w:color w:val="auto"/>
                <w:sz w:val="21"/>
                <w:szCs w:val="21"/>
                <w:highlight w:val="none"/>
              </w:rPr>
            </w:pPr>
          </w:p>
        </w:tc>
      </w:tr>
    </w:tbl>
    <w:p w14:paraId="2277F167">
      <w:pPr>
        <w:spacing w:line="500" w:lineRule="exact"/>
        <w:ind w:firstLine="600" w:firstLineChars="25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供应商：                          </w:t>
      </w:r>
      <w:r>
        <w:rPr>
          <w:rFonts w:hint="default" w:ascii="Times New Roman" w:hAnsi="Times New Roman" w:eastAsia="方正仿宋_GBK" w:cs="Times New Roman"/>
          <w:color w:val="auto"/>
          <w:sz w:val="24"/>
          <w:szCs w:val="24"/>
        </w:rPr>
        <w:t>法定代表人（或其授权代表）或自然人：</w:t>
      </w:r>
    </w:p>
    <w:p w14:paraId="2C539B4E">
      <w:pPr>
        <w:spacing w:line="500" w:lineRule="exact"/>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    </w:t>
      </w:r>
    </w:p>
    <w:p w14:paraId="35026EB9">
      <w:pPr>
        <w:spacing w:line="500" w:lineRule="exact"/>
        <w:ind w:firstLine="360" w:firstLineChars="15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（供应商公章）                                 （签署或盖章）</w:t>
      </w:r>
    </w:p>
    <w:p w14:paraId="2C2BC863">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8"/>
        </w:rPr>
        <w:t xml:space="preserve">                                            年     月     日</w:t>
      </w:r>
    </w:p>
    <w:p w14:paraId="11C23E2E">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注：</w:t>
      </w:r>
    </w:p>
    <w:p w14:paraId="0AE992C3">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1.本表即为对本项目“第三篇 项目商务要求”中所列条款进行比较和响应；</w:t>
      </w:r>
    </w:p>
    <w:p w14:paraId="53BAFD35">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2.本表可扩展。</w:t>
      </w:r>
    </w:p>
    <w:p w14:paraId="19029DF4">
      <w:pPr>
        <w:pStyle w:val="25"/>
        <w:bidi w:val="0"/>
        <w:rPr>
          <w:rFonts w:hint="default" w:ascii="Times New Roman" w:hAnsi="Times New Roman" w:eastAsia="方正仿宋_GBK" w:cs="Times New Roman"/>
          <w:color w:val="auto"/>
          <w:szCs w:val="24"/>
          <w:highlight w:val="none"/>
        </w:rPr>
      </w:pPr>
      <w:r>
        <w:rPr>
          <w:rFonts w:hint="default" w:ascii="Times New Roman" w:hAnsi="Times New Roman" w:cs="Times New Roman"/>
          <w:color w:val="auto"/>
          <w:highlight w:val="none"/>
        </w:rPr>
        <w:t>3.投标应答栏中应当注明具体内容，且必须标注具体内容在</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中的位置（页码）。</w:t>
      </w:r>
    </w:p>
    <w:p w14:paraId="7280739A">
      <w:pPr>
        <w:snapToGrid w:val="0"/>
        <w:spacing w:line="400" w:lineRule="exact"/>
        <w:ind w:firstLine="56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Cs w:val="28"/>
          <w:highlight w:val="none"/>
        </w:rPr>
        <w:br w:type="page"/>
      </w:r>
      <w:r>
        <w:rPr>
          <w:rFonts w:hint="default" w:ascii="Times New Roman" w:hAnsi="Times New Roman" w:eastAsia="方正仿宋_GBK" w:cs="Times New Roman"/>
          <w:color w:val="auto"/>
          <w:sz w:val="24"/>
          <w:szCs w:val="28"/>
          <w:highlight w:val="none"/>
        </w:rPr>
        <w:t>（</w:t>
      </w:r>
      <w:r>
        <w:rPr>
          <w:rFonts w:hint="eastAsia" w:eastAsia="方正仿宋_GBK" w:cs="Times New Roman"/>
          <w:color w:val="auto"/>
          <w:sz w:val="24"/>
          <w:szCs w:val="28"/>
          <w:highlight w:val="none"/>
          <w:lang w:val="en-US" w:eastAsia="zh-CN"/>
        </w:rPr>
        <w:t>二</w:t>
      </w:r>
      <w:r>
        <w:rPr>
          <w:rFonts w:hint="default" w:ascii="Times New Roman" w:hAnsi="Times New Roman" w:eastAsia="方正仿宋_GBK" w:cs="Times New Roman"/>
          <w:color w:val="auto"/>
          <w:sz w:val="24"/>
          <w:szCs w:val="28"/>
          <w:highlight w:val="none"/>
        </w:rPr>
        <w:t>）其他商务资料</w:t>
      </w:r>
      <w:r>
        <w:rPr>
          <w:rFonts w:hint="default" w:ascii="Times New Roman" w:hAnsi="Times New Roman" w:eastAsia="方正仿宋_GBK" w:cs="Times New Roman"/>
          <w:color w:val="auto"/>
          <w:sz w:val="24"/>
          <w:szCs w:val="24"/>
        </w:rPr>
        <w:t>（格式自定）</w:t>
      </w:r>
    </w:p>
    <w:p w14:paraId="128E2F18">
      <w:pPr>
        <w:tabs>
          <w:tab w:val="left" w:pos="6300"/>
        </w:tabs>
        <w:snapToGrid w:val="0"/>
        <w:spacing w:line="500" w:lineRule="exact"/>
        <w:ind w:firstLine="560"/>
        <w:rPr>
          <w:rFonts w:hint="default" w:ascii="Times New Roman" w:hAnsi="Times New Roman" w:eastAsia="方正仿宋_GBK" w:cs="Times New Roman"/>
          <w:color w:val="auto"/>
          <w:szCs w:val="28"/>
          <w:highlight w:val="none"/>
        </w:rPr>
      </w:pPr>
    </w:p>
    <w:p w14:paraId="199D8BF0">
      <w:pPr>
        <w:rPr>
          <w:rFonts w:hint="default" w:ascii="Times New Roman" w:hAnsi="Times New Roman" w:eastAsia="方正仿宋_GBK" w:cs="Times New Roman"/>
          <w:color w:val="auto"/>
          <w:szCs w:val="28"/>
          <w:highlight w:val="none"/>
        </w:rPr>
      </w:pPr>
      <w:r>
        <w:rPr>
          <w:rFonts w:hint="default" w:ascii="Times New Roman" w:hAnsi="Times New Roman" w:eastAsia="方正仿宋_GBK" w:cs="Times New Roman"/>
          <w:color w:val="auto"/>
          <w:szCs w:val="28"/>
          <w:highlight w:val="none"/>
        </w:rPr>
        <w:br w:type="page"/>
      </w:r>
    </w:p>
    <w:p w14:paraId="1B75F818">
      <w:pPr>
        <w:pStyle w:val="26"/>
        <w:numPr>
          <w:ilvl w:val="0"/>
          <w:numId w:val="0"/>
        </w:numPr>
        <w:bidi w:val="0"/>
        <w:ind w:firstLine="48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四、</w:t>
      </w:r>
      <w:r>
        <w:rPr>
          <w:rFonts w:hint="default" w:ascii="Times New Roman" w:hAnsi="Times New Roman" w:cs="Times New Roman"/>
          <w:color w:val="auto"/>
          <w:highlight w:val="none"/>
          <w:lang w:val="en-US" w:eastAsia="zh-CN"/>
        </w:rPr>
        <w:t>其他</w:t>
      </w:r>
    </w:p>
    <w:p w14:paraId="50BE78E6">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其他与项目有关的资料（自附）</w:t>
      </w:r>
    </w:p>
    <w:p w14:paraId="447BC517">
      <w:pP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br w:type="page"/>
      </w:r>
    </w:p>
    <w:p w14:paraId="7854D13C">
      <w:pPr>
        <w:pStyle w:val="26"/>
        <w:numPr>
          <w:ilvl w:val="0"/>
          <w:numId w:val="0"/>
        </w:numPr>
        <w:bidi w:val="0"/>
        <w:ind w:leftChars="233"/>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lang w:val="en-US" w:eastAsia="zh-CN"/>
        </w:rPr>
        <w:t>资格文件</w:t>
      </w:r>
    </w:p>
    <w:p w14:paraId="7DF11314">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（一）法人营业执照（副本）或事业单位法人证书（副本）或个体工商户营业执照或有效的自然人身份证明或社会团体法人登记证书复印件</w:t>
      </w:r>
    </w:p>
    <w:p w14:paraId="2B2C946F">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1DF989E2">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423BCA07">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1840775D">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7D92C487">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2E11ED7D">
      <w:pPr>
        <w:spacing w:line="400" w:lineRule="exact"/>
        <w:ind w:firstLine="56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8"/>
          <w:highlight w:val="none"/>
        </w:rPr>
        <w:t>（</w:t>
      </w:r>
      <w:r>
        <w:rPr>
          <w:rFonts w:hint="eastAsia" w:eastAsia="方正仿宋_GBK" w:cs="Times New Roman"/>
          <w:color w:val="auto"/>
          <w:sz w:val="24"/>
          <w:szCs w:val="28"/>
          <w:highlight w:val="none"/>
          <w:lang w:val="en-US" w:eastAsia="zh-CN"/>
        </w:rPr>
        <w:t>二</w:t>
      </w:r>
      <w:r>
        <w:rPr>
          <w:rFonts w:hint="default" w:ascii="Times New Roman" w:hAnsi="Times New Roman" w:eastAsia="方正仿宋_GBK" w:cs="Times New Roman"/>
          <w:color w:val="auto"/>
          <w:sz w:val="24"/>
          <w:szCs w:val="28"/>
          <w:highlight w:val="none"/>
        </w:rPr>
        <w:t>）法定代表人身份证明书（格式）</w:t>
      </w:r>
    </w:p>
    <w:p w14:paraId="0029E2A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采购</w:t>
      </w:r>
      <w:r>
        <w:rPr>
          <w:rFonts w:hint="default" w:ascii="Times New Roman" w:hAnsi="Times New Roman" w:eastAsia="方正仿宋_GBK" w:cs="Times New Roman"/>
          <w:color w:val="auto"/>
          <w:sz w:val="24"/>
          <w:highlight w:val="none"/>
        </w:rPr>
        <w:t>项目名称：</w:t>
      </w:r>
      <w:r>
        <w:rPr>
          <w:rFonts w:hint="default" w:ascii="Times New Roman" w:hAnsi="Times New Roman" w:eastAsia="方正仿宋_GBK" w:cs="Times New Roman"/>
          <w:color w:val="auto"/>
          <w:sz w:val="24"/>
          <w:highlight w:val="none"/>
          <w:u w:val="single"/>
        </w:rPr>
        <w:t xml:space="preserve">                                                </w:t>
      </w:r>
    </w:p>
    <w:p w14:paraId="5DF2D5D0">
      <w:pPr>
        <w:tabs>
          <w:tab w:val="left" w:pos="6300"/>
        </w:tabs>
        <w:snapToGrid w:val="0"/>
        <w:spacing w:line="5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w:t>
      </w:r>
      <w:r>
        <w:rPr>
          <w:rFonts w:hint="default" w:ascii="Times New Roman" w:hAnsi="Times New Roman" w:eastAsia="方正仿宋_GBK" w:cs="Times New Roman"/>
          <w:color w:val="auto"/>
          <w:sz w:val="24"/>
          <w:highlight w:val="none"/>
          <w:lang w:eastAsia="zh-CN"/>
        </w:rPr>
        <w:t>人</w:t>
      </w:r>
      <w:r>
        <w:rPr>
          <w:rFonts w:hint="default" w:ascii="Times New Roman" w:hAnsi="Times New Roman" w:eastAsia="方正仿宋_GBK" w:cs="Times New Roman"/>
          <w:color w:val="auto"/>
          <w:sz w:val="24"/>
          <w:highlight w:val="none"/>
        </w:rPr>
        <w:t>）：</w:t>
      </w:r>
    </w:p>
    <w:p w14:paraId="39092AE0">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（法定代表人姓名）在</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名称）任</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（职务名称）职务，是（</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的法定代表人。</w:t>
      </w:r>
    </w:p>
    <w:p w14:paraId="1CC50EA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31A2B493">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特此证明。</w:t>
      </w:r>
    </w:p>
    <w:p w14:paraId="64B0DB96">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41E9E6F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2A3BD1EF">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w:t>
      </w:r>
    </w:p>
    <w:p w14:paraId="7AC02BBE">
      <w:pPr>
        <w:tabs>
          <w:tab w:val="left" w:pos="6300"/>
        </w:tabs>
        <w:snapToGrid w:val="0"/>
        <w:spacing w:line="500" w:lineRule="exact"/>
        <w:ind w:firstLine="5848" w:firstLineChars="2437"/>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3E0AED29">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8A2C8A7">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年   月   日</w:t>
      </w:r>
    </w:p>
    <w:p w14:paraId="5F33F1A5">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法定代表人电话：XXXXXXX   </w:t>
      </w:r>
    </w:p>
    <w:p w14:paraId="70FA35F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（附：法定代表人身份证正反面复印件）</w:t>
      </w:r>
    </w:p>
    <w:p w14:paraId="15E16F1E">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77958B46">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01F7E61">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A3F23FF">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685F877">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7E0C123C">
      <w:pPr>
        <w:pStyle w:val="25"/>
        <w:bidi w:val="0"/>
        <w:rPr>
          <w:rFonts w:hint="default" w:ascii="Times New Roman" w:hAnsi="Times New Roman" w:cs="Times New Roman"/>
          <w:color w:val="auto"/>
          <w:highlight w:val="none"/>
        </w:rPr>
      </w:pPr>
      <w:r>
        <w:rPr>
          <w:rFonts w:hint="default" w:ascii="Times New Roman" w:hAnsi="Times New Roman" w:eastAsia="方正仿宋_GBK" w:cs="Times New Roman"/>
          <w:color w:val="auto"/>
          <w:highlight w:val="none"/>
        </w:rPr>
        <w:br w:type="column"/>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）法定代表人授权委托书（格式）</w:t>
      </w:r>
    </w:p>
    <w:p w14:paraId="42B65BA1">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w:t>
      </w:r>
      <w:r>
        <w:rPr>
          <w:rFonts w:hint="default" w:ascii="Times New Roman" w:hAnsi="Times New Roman" w:cs="Times New Roman"/>
          <w:color w:val="auto"/>
          <w:highlight w:val="none"/>
        </w:rPr>
        <w:t xml:space="preserve">项目名称：                                                </w:t>
      </w:r>
    </w:p>
    <w:p w14:paraId="5CF22735">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致：</w:t>
      </w:r>
      <w:r>
        <w:rPr>
          <w:rFonts w:hint="default" w:ascii="Times New Roman" w:hAnsi="Times New Roman" w:cs="Times New Roman"/>
          <w:color w:val="auto"/>
          <w:highlight w:val="none"/>
          <w:u w:val="single"/>
        </w:rPr>
        <w:t xml:space="preserve">                     （采购</w:t>
      </w:r>
      <w:r>
        <w:rPr>
          <w:rFonts w:hint="default" w:ascii="Times New Roman" w:hAnsi="Times New Roman" w:cs="Times New Roman"/>
          <w:color w:val="auto"/>
          <w:highlight w:val="none"/>
          <w:u w:val="single"/>
          <w:lang w:eastAsia="zh-CN"/>
        </w:rPr>
        <w:t>人</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rPr>
        <w:t>：</w:t>
      </w:r>
    </w:p>
    <w:p w14:paraId="674F2966">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供应商</w:t>
      </w:r>
      <w:r>
        <w:rPr>
          <w:rFonts w:hint="default" w:ascii="Times New Roman" w:hAnsi="Times New Roman" w:cs="Times New Roman"/>
          <w:color w:val="auto"/>
          <w:highlight w:val="none"/>
          <w:u w:val="single"/>
        </w:rPr>
        <w:t>法定代表人名称）</w:t>
      </w:r>
      <w:r>
        <w:rPr>
          <w:rFonts w:hint="default" w:ascii="Times New Roman" w:hAnsi="Times New Roman" w:cs="Times New Roman"/>
          <w:color w:val="auto"/>
          <w:highlight w:val="none"/>
        </w:rPr>
        <w:t>是</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供应商</w:t>
      </w:r>
      <w:r>
        <w:rPr>
          <w:rFonts w:hint="default" w:ascii="Times New Roman" w:hAnsi="Times New Roman" w:cs="Times New Roman"/>
          <w:color w:val="auto"/>
          <w:highlight w:val="none"/>
          <w:u w:val="single"/>
        </w:rPr>
        <w:t>名称）</w:t>
      </w:r>
      <w:r>
        <w:rPr>
          <w:rFonts w:hint="default" w:ascii="Times New Roman" w:hAnsi="Times New Roman" w:cs="Times New Roman"/>
          <w:color w:val="auto"/>
          <w:highlight w:val="none"/>
        </w:rPr>
        <w:t>的法定代表人，特授权</w:t>
      </w:r>
      <w:r>
        <w:rPr>
          <w:rFonts w:hint="default" w:ascii="Times New Roman" w:hAnsi="Times New Roman" w:cs="Times New Roman"/>
          <w:color w:val="auto"/>
          <w:highlight w:val="none"/>
          <w:u w:val="single"/>
        </w:rPr>
        <w:t xml:space="preserve">          （被授权人姓名及身份证代码）</w:t>
      </w:r>
      <w:r>
        <w:rPr>
          <w:rFonts w:hint="default" w:ascii="Times New Roman" w:hAnsi="Times New Roman" w:cs="Times New Roman"/>
          <w:color w:val="auto"/>
          <w:highlight w:val="none"/>
        </w:rPr>
        <w:t>代表我单位全权办理上述项目的</w:t>
      </w:r>
      <w:r>
        <w:rPr>
          <w:rFonts w:hint="default" w:ascii="Times New Roman" w:hAnsi="Times New Roman" w:eastAsia="方正仿宋_GBK" w:cs="Times New Roman"/>
          <w:color w:val="auto"/>
          <w:sz w:val="24"/>
          <w:lang w:eastAsia="zh-CN"/>
        </w:rPr>
        <w:t>比选</w:t>
      </w:r>
      <w:r>
        <w:rPr>
          <w:rFonts w:hint="default" w:ascii="Times New Roman" w:hAnsi="Times New Roman" w:eastAsia="方正仿宋_GBK" w:cs="Times New Roman"/>
          <w:color w:val="auto"/>
          <w:sz w:val="24"/>
        </w:rPr>
        <w:t>、签约等具体工作</w:t>
      </w:r>
      <w:r>
        <w:rPr>
          <w:rFonts w:hint="default" w:ascii="Times New Roman" w:hAnsi="Times New Roman" w:cs="Times New Roman"/>
          <w:color w:val="auto"/>
          <w:highlight w:val="none"/>
        </w:rPr>
        <w:t>，并签署全部有关文件、协议及合同。</w:t>
      </w:r>
    </w:p>
    <w:p w14:paraId="076C9901">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我单位对被授权人的签署负全部责任。</w:t>
      </w:r>
    </w:p>
    <w:p w14:paraId="55A3BAC1">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在撤销授权的书面通知以前，本授权书一直有效。被授权人在授权书有效期内签署的所有文件不因授权的撤销而失效。</w:t>
      </w:r>
    </w:p>
    <w:p w14:paraId="35E400DC">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被授权人：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法定代表人：</w:t>
      </w:r>
    </w:p>
    <w:p w14:paraId="2A0EF007">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（签署或盖章）                                （签署或盖章）</w:t>
      </w:r>
    </w:p>
    <w:p w14:paraId="6A430450">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（附：被授权人身份证正反面复印件）</w:t>
      </w:r>
    </w:p>
    <w:p w14:paraId="69BCE38D">
      <w:pPr>
        <w:pStyle w:val="2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p>
    <w:p w14:paraId="518E2CEB">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公章）</w:t>
      </w:r>
    </w:p>
    <w:p w14:paraId="4659D222">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年   月   日</w:t>
      </w:r>
    </w:p>
    <w:p w14:paraId="6FD11499">
      <w:pPr>
        <w:tabs>
          <w:tab w:val="left" w:pos="6300"/>
        </w:tabs>
        <w:snapToGrid w:val="0"/>
        <w:spacing w:line="500" w:lineRule="exact"/>
        <w:ind w:right="480" w:firstLine="480" w:firstLineChars="200"/>
        <w:jc w:val="lef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被授权人电话：XXXXXXX     </w:t>
      </w:r>
    </w:p>
    <w:p w14:paraId="4DADD062">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注：</w:t>
      </w:r>
    </w:p>
    <w:p w14:paraId="297A9824">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1.若为法定代表人办理并签署</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的，不提供此文件。</w:t>
      </w:r>
    </w:p>
    <w:p w14:paraId="72502E09">
      <w:pPr>
        <w:pStyle w:val="25"/>
        <w:bidi w:val="0"/>
        <w:rPr>
          <w:rFonts w:hint="default" w:ascii="Times New Roman" w:hAnsi="Times New Roman" w:cs="Times New Roman"/>
          <w:color w:val="auto"/>
          <w:highlight w:val="none"/>
        </w:rPr>
      </w:pPr>
      <w:r>
        <w:rPr>
          <w:rFonts w:hint="default" w:ascii="Times New Roman" w:hAnsi="Times New Roman" w:eastAsia="方正仿宋_GBK" w:cs="Times New Roman"/>
          <w:color w:val="auto"/>
          <w:highlight w:val="none"/>
        </w:rPr>
        <w:br w:type="column"/>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）基本资格条件承诺函（格式）</w:t>
      </w:r>
    </w:p>
    <w:p w14:paraId="63F4160A">
      <w:pPr>
        <w:pStyle w:val="25"/>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基本资格条件承诺函</w:t>
      </w:r>
    </w:p>
    <w:p w14:paraId="563E572B">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致</w:t>
      </w:r>
      <w:r>
        <w:rPr>
          <w:rFonts w:hint="default" w:ascii="Times New Roman" w:hAnsi="Times New Roman" w:cs="Times New Roman"/>
          <w:color w:val="auto"/>
          <w:highlight w:val="none"/>
          <w:u w:val="single"/>
        </w:rPr>
        <w:t xml:space="preserve">                   （采购</w:t>
      </w:r>
      <w:r>
        <w:rPr>
          <w:rFonts w:hint="default" w:ascii="Times New Roman" w:hAnsi="Times New Roman" w:cs="Times New Roman"/>
          <w:color w:val="auto"/>
          <w:highlight w:val="none"/>
          <w:u w:val="single"/>
          <w:lang w:eastAsia="zh-CN"/>
        </w:rPr>
        <w:t>人</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rPr>
        <w:t>：</w:t>
      </w:r>
    </w:p>
    <w:p w14:paraId="76E68AE5">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供应商</w:t>
      </w:r>
      <w:r>
        <w:rPr>
          <w:rFonts w:hint="default" w:ascii="Times New Roman" w:hAnsi="Times New Roman" w:cs="Times New Roman"/>
          <w:color w:val="auto"/>
          <w:highlight w:val="none"/>
          <w:u w:val="single"/>
        </w:rPr>
        <w:t>名称）</w:t>
      </w:r>
      <w:r>
        <w:rPr>
          <w:rFonts w:hint="default" w:ascii="Times New Roman" w:hAnsi="Times New Roman" w:cs="Times New Roman"/>
          <w:color w:val="auto"/>
          <w:highlight w:val="none"/>
        </w:rPr>
        <w:t>郑重承诺：</w:t>
      </w:r>
    </w:p>
    <w:p w14:paraId="2A2A73D1">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1.我方具有良好的商业信誉和健全的财务会计制度，具有履行合同所必需的设备和专业技术能力，具</w:t>
      </w:r>
      <w:r>
        <w:rPr>
          <w:rFonts w:hint="default" w:ascii="Times New Roman" w:hAnsi="Times New Roman" w:cs="Times New Roman"/>
          <w:color w:val="auto"/>
          <w:highlight w:val="none"/>
          <w:lang w:val="zh-CN"/>
        </w:rPr>
        <w:t>有依法缴纳税收和社会保障金的良好记录</w:t>
      </w:r>
      <w:r>
        <w:rPr>
          <w:rFonts w:hint="default" w:ascii="Times New Roman" w:hAnsi="Times New Roman" w:cs="Times New Roman"/>
          <w:color w:val="auto"/>
          <w:highlight w:val="none"/>
        </w:rPr>
        <w:t>，参加本项目采购活动前三年内无重大违法活动记录。</w:t>
      </w:r>
    </w:p>
    <w:p w14:paraId="4414FF77">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2.我方未列入在信用中国网站（www.creditchina.gov.cn）“失信被执行人”、“重大税收违法案件当事人名单”中，也未列入中国政府采购网（www.ccgp.gov.cn）“政府采购严重违法失信行为记录名单”中。</w:t>
      </w:r>
    </w:p>
    <w:p w14:paraId="4636B665">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3.我方在采购项目评审（评标）环节结束后，随时接受采购人的检查验证，配合提供相关证明材料，证明符合《中华人民共和国政府采购法》规定的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基本资格条件。</w:t>
      </w:r>
    </w:p>
    <w:p w14:paraId="13AA5161">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我方对以上承诺负全部法律责任。</w:t>
      </w:r>
    </w:p>
    <w:p w14:paraId="2CFD7588">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特此承诺。</w:t>
      </w:r>
    </w:p>
    <w:p w14:paraId="6F277C3E">
      <w:pPr>
        <w:pStyle w:val="25"/>
        <w:bidi w:val="0"/>
        <w:rPr>
          <w:rFonts w:hint="default" w:ascii="Times New Roman" w:hAnsi="Times New Roman" w:cs="Times New Roman"/>
          <w:color w:val="auto"/>
          <w:highlight w:val="none"/>
        </w:rPr>
      </w:pPr>
    </w:p>
    <w:p w14:paraId="3A1B4ED6">
      <w:pPr>
        <w:pStyle w:val="25"/>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公章）</w:t>
      </w:r>
    </w:p>
    <w:p w14:paraId="7BDB3223">
      <w:pPr>
        <w:pStyle w:val="25"/>
        <w:bidi w:val="0"/>
        <w:ind w:firstLine="5760" w:firstLineChars="2400"/>
        <w:rPr>
          <w:rFonts w:hint="default" w:ascii="Times New Roman" w:hAnsi="Times New Roman" w:cs="Times New Roman"/>
          <w:color w:val="auto"/>
          <w:highlight w:val="none"/>
        </w:rPr>
      </w:pPr>
      <w:r>
        <w:rPr>
          <w:rFonts w:hint="default" w:ascii="Times New Roman" w:hAnsi="Times New Roman" w:cs="Times New Roman"/>
          <w:color w:val="auto"/>
          <w:highlight w:val="none"/>
        </w:rPr>
        <w:t>年   月   日</w:t>
      </w:r>
    </w:p>
    <w:p w14:paraId="6AD3E516">
      <w:pPr>
        <w:pStyle w:val="25"/>
        <w:bidi w:val="0"/>
        <w:spacing w:after="0" w:line="400" w:lineRule="exact"/>
        <w:rPr>
          <w:rFonts w:hint="default" w:ascii="Times New Roman" w:hAnsi="Times New Roman" w:cs="Times New Roman"/>
          <w:color w:val="auto"/>
        </w:rPr>
      </w:pPr>
      <w:r>
        <w:rPr>
          <w:rFonts w:hint="default" w:ascii="Times New Roman" w:hAnsi="Times New Roman" w:eastAsia="方正仿宋_GBK" w:cs="Times New Roman"/>
          <w:color w:val="auto"/>
          <w:highlight w:val="none"/>
        </w:rPr>
        <w:br w:type="page"/>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五</w:t>
      </w:r>
      <w:r>
        <w:rPr>
          <w:rFonts w:hint="eastAsia" w:ascii="Times New Roman" w:hAnsi="Times New Roman" w:cs="Times New Roman"/>
          <w:color w:val="auto"/>
          <w:lang w:eastAsia="zh-CN"/>
        </w:rPr>
        <w:t>）</w:t>
      </w:r>
      <w:r>
        <w:rPr>
          <w:rFonts w:hint="default" w:ascii="Times New Roman" w:hAnsi="Times New Roman" w:cs="Times New Roman"/>
          <w:color w:val="auto"/>
        </w:rPr>
        <w:t>响应文件的声明函</w:t>
      </w:r>
    </w:p>
    <w:p w14:paraId="7BE7A51F">
      <w:pPr>
        <w:widowControl w:val="0"/>
        <w:bidi w:val="0"/>
        <w:snapToGrid w:val="0"/>
        <w:spacing w:after="0" w:line="400" w:lineRule="exact"/>
        <w:ind w:firstLine="480" w:firstLineChars="200"/>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u w:val="single"/>
          <w:lang w:val="en-US" w:eastAsia="zh-CN" w:bidi="ar-SA"/>
        </w:rPr>
        <w:t xml:space="preserve">　　　　　   　　    </w:t>
      </w:r>
      <w:r>
        <w:rPr>
          <w:rFonts w:hint="default" w:ascii="Times New Roman" w:hAnsi="Times New Roman" w:eastAsia="方正仿宋_GBK" w:cs="Times New Roman"/>
          <w:color w:val="auto"/>
          <w:kern w:val="2"/>
          <w:sz w:val="24"/>
          <w:szCs w:val="24"/>
          <w:lang w:val="en-US" w:eastAsia="zh-CN" w:bidi="ar-SA"/>
        </w:rPr>
        <w:t>（采购人）：</w:t>
      </w:r>
    </w:p>
    <w:p w14:paraId="64D9BAD9">
      <w:pPr>
        <w:widowControl w:val="0"/>
        <w:bidi w:val="0"/>
        <w:snapToGrid w:val="0"/>
        <w:spacing w:after="0" w:line="400" w:lineRule="exact"/>
        <w:ind w:firstLine="480" w:firstLineChars="200"/>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本公司愿意就贵单位组织实施的</w:t>
      </w:r>
      <w:r>
        <w:rPr>
          <w:rFonts w:hint="eastAsia" w:ascii="Times New Roman" w:hAnsi="Times New Roman" w:eastAsia="方正仿宋_GBK" w:cs="Times New Roman"/>
          <w:color w:val="auto"/>
          <w:kern w:val="2"/>
          <w:sz w:val="24"/>
          <w:szCs w:val="24"/>
          <w:u w:val="none"/>
          <w:lang w:val="en-US" w:eastAsia="zh-CN" w:bidi="ar-SA"/>
        </w:rPr>
        <w:t>（</w:t>
      </w:r>
      <w:r>
        <w:rPr>
          <w:rFonts w:hint="default" w:ascii="Times New Roman" w:hAnsi="Times New Roman" w:eastAsia="方正仿宋_GBK" w:cs="Times New Roman"/>
          <w:color w:val="auto"/>
          <w:kern w:val="2"/>
          <w:sz w:val="24"/>
          <w:szCs w:val="24"/>
          <w:u w:val="none"/>
          <w:lang w:val="en-US" w:eastAsia="zh-CN" w:bidi="ar-SA"/>
        </w:rPr>
        <w:t>项目编号</w:t>
      </w:r>
      <w:r>
        <w:rPr>
          <w:rFonts w:hint="default" w:ascii="Times New Roman" w:hAnsi="Times New Roman" w:eastAsia="方正仿宋_GBK" w:cs="Times New Roman"/>
          <w:color w:val="auto"/>
          <w:kern w:val="2"/>
          <w:sz w:val="24"/>
          <w:szCs w:val="24"/>
          <w:u w:val="single"/>
          <w:lang w:val="en-US" w:eastAsia="zh-CN" w:bidi="ar-SA"/>
        </w:rPr>
        <w:t>：</w:t>
      </w:r>
      <w:r>
        <w:rPr>
          <w:rFonts w:hint="eastAsia" w:ascii="Times New Roman" w:hAnsi="Times New Roman" w:eastAsia="方正仿宋_GBK" w:cs="Times New Roman"/>
          <w:color w:val="auto"/>
          <w:kern w:val="2"/>
          <w:sz w:val="24"/>
          <w:szCs w:val="24"/>
          <w:u w:val="single"/>
          <w:lang w:val="en-US" w:eastAsia="zh-CN" w:bidi="ar-SA"/>
        </w:rPr>
        <w:t xml:space="preserve">              </w:t>
      </w:r>
      <w:r>
        <w:rPr>
          <w:rFonts w:hint="eastAsia" w:ascii="Times New Roman" w:hAnsi="Times New Roman" w:eastAsia="方正仿宋_GBK" w:cs="Times New Roman"/>
          <w:color w:val="auto"/>
          <w:kern w:val="2"/>
          <w:sz w:val="24"/>
          <w:szCs w:val="24"/>
          <w:u w:val="none"/>
          <w:lang w:val="en-US" w:eastAsia="zh-CN" w:bidi="ar-SA"/>
        </w:rPr>
        <w:t>）</w:t>
      </w:r>
      <w:r>
        <w:rPr>
          <w:rFonts w:hint="default" w:ascii="Times New Roman" w:hAnsi="Times New Roman" w:eastAsia="方正仿宋_GBK" w:cs="Times New Roman"/>
          <w:color w:val="auto"/>
          <w:kern w:val="2"/>
          <w:sz w:val="24"/>
          <w:szCs w:val="24"/>
          <w:lang w:val="en-US" w:eastAsia="zh-CN" w:bidi="ar-SA"/>
        </w:rPr>
        <w:t>的</w:t>
      </w:r>
      <w:r>
        <w:rPr>
          <w:rFonts w:hint="eastAsia" w:ascii="Times New Roman" w:hAnsi="Times New Roman" w:eastAsia="方正仿宋_GBK" w:cs="Times New Roman"/>
          <w:color w:val="auto"/>
          <w:kern w:val="2"/>
          <w:sz w:val="24"/>
          <w:szCs w:val="24"/>
          <w:u w:val="single"/>
          <w:lang w:val="en-US" w:eastAsia="zh-CN" w:bidi="ar-SA"/>
        </w:rPr>
        <w:t xml:space="preserve">                </w:t>
      </w:r>
      <w:r>
        <w:rPr>
          <w:rFonts w:hint="default" w:ascii="Times New Roman" w:hAnsi="Times New Roman" w:eastAsia="方正仿宋_GBK" w:cs="Times New Roman"/>
          <w:color w:val="auto"/>
          <w:kern w:val="2"/>
          <w:sz w:val="24"/>
          <w:szCs w:val="24"/>
          <w:lang w:val="en-US" w:eastAsia="zh-CN" w:bidi="ar-SA"/>
        </w:rPr>
        <w:t>采购活动进行响应。</w:t>
      </w:r>
    </w:p>
    <w:p w14:paraId="12DF2939">
      <w:pPr>
        <w:widowControl w:val="0"/>
        <w:bidi w:val="0"/>
        <w:snapToGrid w:val="0"/>
        <w:spacing w:after="0" w:line="400" w:lineRule="exact"/>
        <w:ind w:firstLine="480" w:firstLineChars="200"/>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1.本公司愿意按照采购文件的一切要求，提供完成该项目的全部内容，且我方完全同意合同履行期限内涉及的合同价款是包括完成本项目工作所需的一切费用。</w:t>
      </w:r>
    </w:p>
    <w:p w14:paraId="4B74AC2D">
      <w:pPr>
        <w:widowControl w:val="0"/>
        <w:bidi w:val="0"/>
        <w:snapToGrid w:val="0"/>
        <w:spacing w:after="0" w:line="400" w:lineRule="exact"/>
        <w:ind w:firstLine="480" w:firstLineChars="200"/>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2.本公司已经详细审查了全部采购文件，我方已完全清晰理解采购文件的要求，不存在任何含糊不清和误解之处。</w:t>
      </w:r>
    </w:p>
    <w:p w14:paraId="5C491CC8">
      <w:pPr>
        <w:widowControl w:val="0"/>
        <w:bidi w:val="0"/>
        <w:snapToGrid w:val="0"/>
        <w:spacing w:after="0" w:line="400" w:lineRule="exact"/>
        <w:ind w:firstLine="480" w:firstLineChars="200"/>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3.本公司愿意提供采购人在采购文件中要求的所有资料。</w:t>
      </w:r>
    </w:p>
    <w:p w14:paraId="653EFF41">
      <w:pPr>
        <w:widowControl w:val="0"/>
        <w:bidi w:val="0"/>
        <w:snapToGrid w:val="0"/>
        <w:spacing w:after="0" w:line="400" w:lineRule="exact"/>
        <w:ind w:firstLine="480" w:firstLineChars="200"/>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4.本公司承诺在本次采购响应中提供的一切文件、证明和陈述，无论是原件还是复印件均真实、有效、准确的，绝无任何虚假、伪造和夸大的成份。否则，本公司愿承担相应的后果和法律责任。</w:t>
      </w:r>
    </w:p>
    <w:p w14:paraId="002497E4">
      <w:pPr>
        <w:widowControl w:val="0"/>
        <w:bidi w:val="0"/>
        <w:snapToGrid w:val="0"/>
        <w:spacing w:after="0" w:line="400" w:lineRule="exact"/>
        <w:ind w:firstLine="480" w:firstLineChars="200"/>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5.本公司尊重评审小组所作评定结果，同时也清楚理解到采购报价最低并非意味着必定获得成交资格。</w:t>
      </w:r>
    </w:p>
    <w:p w14:paraId="5BC6992B">
      <w:pPr>
        <w:widowControl w:val="0"/>
        <w:bidi w:val="0"/>
        <w:snapToGrid w:val="0"/>
        <w:spacing w:after="0" w:line="400" w:lineRule="exact"/>
        <w:ind w:firstLine="480" w:firstLineChars="200"/>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6.一旦本公司成交，本公司将根据采购文件的规定，严格履行采购文件中规定的每一项要求，按期、按质、按量履行合同的义务。</w:t>
      </w:r>
    </w:p>
    <w:p w14:paraId="6F6A8FF6">
      <w:pPr>
        <w:widowControl w:val="0"/>
        <w:bidi w:val="0"/>
        <w:snapToGrid w:val="0"/>
        <w:spacing w:after="0" w:line="400" w:lineRule="exact"/>
        <w:ind w:firstLine="480" w:firstLineChars="200"/>
        <w:jc w:val="both"/>
        <w:rPr>
          <w:rFonts w:hint="default" w:ascii="Times New Roman" w:hAnsi="Times New Roman" w:eastAsia="方正仿宋_GBK" w:cs="Times New Roman"/>
          <w:color w:val="auto"/>
          <w:kern w:val="2"/>
          <w:sz w:val="24"/>
          <w:szCs w:val="24"/>
          <w:lang w:val="en-US" w:eastAsia="zh-CN" w:bidi="ar-SA"/>
        </w:rPr>
      </w:pPr>
    </w:p>
    <w:p w14:paraId="217BB0AB">
      <w:pPr>
        <w:widowControl w:val="0"/>
        <w:bidi w:val="0"/>
        <w:snapToGrid w:val="0"/>
        <w:spacing w:after="0" w:line="400" w:lineRule="exact"/>
        <w:ind w:firstLine="4800" w:firstLineChars="2000"/>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 xml:space="preserve">供应商（须加盖公章）： </w:t>
      </w:r>
    </w:p>
    <w:p w14:paraId="0E219B5D">
      <w:pPr>
        <w:widowControl w:val="0"/>
        <w:bidi w:val="0"/>
        <w:snapToGrid w:val="0"/>
        <w:spacing w:after="0" w:line="400" w:lineRule="exact"/>
        <w:ind w:firstLine="480" w:firstLineChars="200"/>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 xml:space="preserve">        </w:t>
      </w:r>
      <w:r>
        <w:rPr>
          <w:rFonts w:hint="eastAsia" w:ascii="Times New Roman" w:hAnsi="Times New Roman" w:eastAsia="方正仿宋_GBK" w:cs="Times New Roman"/>
          <w:color w:val="auto"/>
          <w:kern w:val="2"/>
          <w:sz w:val="24"/>
          <w:szCs w:val="24"/>
          <w:lang w:val="en-US" w:eastAsia="zh-CN" w:bidi="ar-SA"/>
        </w:rPr>
        <w:t xml:space="preserve">                    </w:t>
      </w:r>
      <w:r>
        <w:rPr>
          <w:rFonts w:hint="default" w:ascii="Times New Roman" w:hAnsi="Times New Roman" w:eastAsia="方正仿宋_GBK" w:cs="Times New Roman"/>
          <w:color w:val="auto"/>
          <w:kern w:val="2"/>
          <w:sz w:val="24"/>
          <w:szCs w:val="24"/>
          <w:lang w:val="en-US" w:eastAsia="zh-CN" w:bidi="ar-SA"/>
        </w:rPr>
        <w:t>法定代表人或被委托人：（签字或盖章）</w:t>
      </w:r>
    </w:p>
    <w:p w14:paraId="13040974">
      <w:pPr>
        <w:widowControl w:val="0"/>
        <w:bidi w:val="0"/>
        <w:snapToGrid w:val="0"/>
        <w:spacing w:after="0" w:line="400" w:lineRule="exact"/>
        <w:ind w:firstLine="5040" w:firstLineChars="2100"/>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2026年  月  日</w:t>
      </w:r>
    </w:p>
    <w:p w14:paraId="67752990">
      <w:pPr>
        <w:widowControl w:val="0"/>
        <w:bidi w:val="0"/>
        <w:snapToGrid w:val="0"/>
        <w:spacing w:after="0" w:line="400" w:lineRule="exact"/>
        <w:ind w:firstLine="480" w:firstLineChars="200"/>
        <w:jc w:val="both"/>
        <w:rPr>
          <w:rFonts w:hint="default" w:ascii="Times New Roman" w:hAnsi="Times New Roman" w:eastAsia="方正仿宋_GBK" w:cs="Times New Roman"/>
          <w:color w:val="auto"/>
          <w:kern w:val="2"/>
          <w:sz w:val="24"/>
          <w:szCs w:val="24"/>
          <w:lang w:val="en-US" w:eastAsia="zh-CN" w:bidi="ar-SA"/>
        </w:rPr>
      </w:pPr>
    </w:p>
    <w:p w14:paraId="7E36A14A">
      <w:pPr>
        <w:bidi w:val="0"/>
        <w:rPr>
          <w:rFonts w:hint="default" w:ascii="Times New Roman" w:hAnsi="Times New Roman" w:cs="Times New Roman"/>
          <w:color w:val="auto"/>
        </w:rPr>
        <w:sectPr>
          <w:pgSz w:w="11907" w:h="16840"/>
          <w:pgMar w:top="1134" w:right="1191" w:bottom="1134" w:left="1304" w:header="851" w:footer="992" w:gutter="0"/>
          <w:pgNumType w:fmt="decimal"/>
          <w:cols w:space="720" w:num="1"/>
          <w:docGrid w:linePitch="380" w:charSpace="-5735"/>
        </w:sectPr>
      </w:pPr>
      <w:r>
        <w:rPr>
          <w:rFonts w:hint="default" w:ascii="Times New Roman" w:hAnsi="Times New Roman" w:eastAsia="方正仿宋_GBK" w:cs="Times New Roman"/>
          <w:color w:val="auto"/>
          <w:kern w:val="2"/>
          <w:sz w:val="24"/>
          <w:szCs w:val="24"/>
          <w:lang w:val="en-US" w:eastAsia="zh-CN" w:bidi="ar-SA"/>
        </w:rPr>
        <w:t>注：本响应文件的声明函为格式文字表述，供应商不得改动，必须提供。</w:t>
      </w:r>
    </w:p>
    <w:p w14:paraId="3BA06169">
      <w:pPr>
        <w:pStyle w:val="25"/>
        <w:numPr>
          <w:ilvl w:val="0"/>
          <w:numId w:val="0"/>
        </w:numPr>
        <w:bidi w:val="0"/>
        <w:ind w:leftChars="200"/>
        <w:rPr>
          <w:rFonts w:hint="eastAsia"/>
          <w:color w:val="auto"/>
          <w:lang w:val="en-US" w:eastAsia="zh-CN"/>
        </w:rPr>
      </w:pP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六</w:t>
      </w:r>
      <w:r>
        <w:rPr>
          <w:rFonts w:hint="default" w:ascii="Times New Roman" w:hAnsi="Times New Roman" w:eastAsia="方正仿宋_GBK" w:cs="Times New Roman"/>
          <w:color w:val="auto"/>
          <w:sz w:val="24"/>
          <w:szCs w:val="28"/>
          <w:highlight w:val="none"/>
        </w:rPr>
        <w:t>）</w:t>
      </w:r>
      <w:r>
        <w:rPr>
          <w:rFonts w:hint="eastAsia"/>
          <w:color w:val="auto"/>
          <w:lang w:val="en-US" w:eastAsia="zh-CN"/>
        </w:rPr>
        <w:t>承诺函</w:t>
      </w:r>
    </w:p>
    <w:p w14:paraId="30B6B723">
      <w:pPr>
        <w:pStyle w:val="25"/>
        <w:bidi w:val="0"/>
        <w:rPr>
          <w:rFonts w:hint="eastAsia"/>
          <w:color w:val="auto"/>
        </w:rPr>
      </w:pPr>
      <w:r>
        <w:rPr>
          <w:rFonts w:hint="eastAsia"/>
          <w:color w:val="auto"/>
          <w:lang w:val="en-US" w:eastAsia="zh-CN"/>
        </w:rPr>
        <w:t>致：</w:t>
      </w:r>
      <w:r>
        <w:rPr>
          <w:rFonts w:hint="eastAsia"/>
          <w:color w:val="auto"/>
          <w:u w:val="single"/>
        </w:rPr>
        <w:t>　　　　　　　</w:t>
      </w:r>
      <w:r>
        <w:rPr>
          <w:rFonts w:hint="eastAsia"/>
          <w:color w:val="auto"/>
          <w:u w:val="single"/>
          <w:lang w:val="en-US" w:eastAsia="zh-CN"/>
        </w:rPr>
        <w:t xml:space="preserve">    </w:t>
      </w:r>
      <w:r>
        <w:rPr>
          <w:rFonts w:hint="eastAsia"/>
          <w:color w:val="auto"/>
          <w:lang w:val="en-US" w:eastAsia="zh-CN"/>
        </w:rPr>
        <w:t>（采购人）</w:t>
      </w:r>
      <w:r>
        <w:rPr>
          <w:rFonts w:hint="eastAsia"/>
          <w:color w:val="auto"/>
        </w:rPr>
        <w:t>：</w:t>
      </w:r>
    </w:p>
    <w:p w14:paraId="05E3F459">
      <w:pPr>
        <w:pStyle w:val="25"/>
        <w:bidi w:val="0"/>
        <w:rPr>
          <w:rFonts w:hint="default"/>
          <w:color w:val="auto"/>
          <w:u w:val="single"/>
          <w:lang w:val="en-US"/>
        </w:rPr>
      </w:pPr>
      <w:r>
        <w:rPr>
          <w:rFonts w:hint="eastAsia"/>
          <w:color w:val="auto"/>
          <w:u w:val="single"/>
          <w:lang w:val="en-US" w:eastAsia="zh-CN"/>
        </w:rPr>
        <w:t xml:space="preserve"> （供应商，以下简称“承诺方”） </w:t>
      </w:r>
      <w:r>
        <w:rPr>
          <w:rFonts w:hint="eastAsia"/>
          <w:color w:val="auto"/>
          <w:lang w:val="en-US" w:eastAsia="zh-CN"/>
        </w:rPr>
        <w:t>参与（</w:t>
      </w:r>
      <w:r>
        <w:rPr>
          <w:rFonts w:hint="eastAsia"/>
          <w:color w:val="auto"/>
        </w:rPr>
        <w:t>项目</w:t>
      </w:r>
      <w:r>
        <w:rPr>
          <w:rFonts w:hint="eastAsia"/>
          <w:color w:val="auto"/>
          <w:lang w:val="en-US" w:eastAsia="zh-CN"/>
        </w:rPr>
        <w:t>名称</w:t>
      </w:r>
      <w:r>
        <w:rPr>
          <w:rFonts w:hint="eastAsia"/>
          <w:color w:val="auto"/>
        </w:rPr>
        <w:t>：</w:t>
      </w:r>
      <w:r>
        <w:rPr>
          <w:rFonts w:hint="eastAsia"/>
          <w:color w:val="auto"/>
          <w:u w:val="single"/>
          <w:lang w:val="en-US" w:eastAsia="zh-CN"/>
        </w:rPr>
        <w:t xml:space="preserve">                          </w:t>
      </w:r>
    </w:p>
    <w:p w14:paraId="3020CF3A">
      <w:pPr>
        <w:pStyle w:val="25"/>
        <w:bidi w:val="0"/>
        <w:ind w:left="0" w:leftChars="0" w:firstLine="0" w:firstLineChars="0"/>
        <w:rPr>
          <w:rFonts w:hint="eastAsia"/>
          <w:color w:val="auto"/>
        </w:rPr>
      </w:pPr>
      <w:r>
        <w:rPr>
          <w:rFonts w:hint="eastAsia"/>
          <w:color w:val="auto"/>
        </w:rPr>
        <w:t>的</w:t>
      </w:r>
      <w:r>
        <w:rPr>
          <w:rFonts w:hint="eastAsia"/>
          <w:color w:val="auto"/>
          <w:u w:val="single"/>
        </w:rPr>
        <w:t xml:space="preserve">  </w:t>
      </w:r>
      <w:r>
        <w:rPr>
          <w:rFonts w:hint="eastAsia"/>
          <w:color w:val="auto"/>
          <w:u w:val="single"/>
          <w:lang w:val="en-US" w:eastAsia="zh-CN"/>
        </w:rPr>
        <w:t xml:space="preserve">                   </w:t>
      </w:r>
      <w:r>
        <w:rPr>
          <w:rFonts w:hint="eastAsia"/>
          <w:color w:val="auto"/>
        </w:rPr>
        <w:t>采购活动</w:t>
      </w:r>
      <w:r>
        <w:rPr>
          <w:rFonts w:hint="eastAsia"/>
          <w:color w:val="auto"/>
          <w:lang w:eastAsia="zh-CN"/>
        </w:rPr>
        <w:t>，</w:t>
      </w:r>
      <w:r>
        <w:rPr>
          <w:rFonts w:hint="eastAsia"/>
          <w:color w:val="auto"/>
          <w:lang w:val="en-US" w:eastAsia="zh-CN"/>
        </w:rPr>
        <w:t>就所投设备、试剂耗材的授权合法性、资质合规性及履约诚信性，郑重作出如下声明和承诺</w:t>
      </w:r>
      <w:r>
        <w:rPr>
          <w:rFonts w:hint="eastAsia"/>
          <w:color w:val="auto"/>
        </w:rPr>
        <w:t>：</w:t>
      </w:r>
    </w:p>
    <w:p w14:paraId="01FCD2AC">
      <w:pPr>
        <w:pStyle w:val="25"/>
        <w:bidi w:val="0"/>
        <w:rPr>
          <w:rFonts w:hint="eastAsia"/>
          <w:color w:val="auto"/>
          <w:lang w:val="en-US" w:eastAsia="zh-CN"/>
        </w:rPr>
      </w:pPr>
      <w:r>
        <w:rPr>
          <w:rFonts w:hint="eastAsia"/>
          <w:color w:val="auto"/>
          <w:lang w:val="en-US" w:eastAsia="zh-CN"/>
        </w:rPr>
        <w:t>一、承诺主体及产品信息</w:t>
      </w:r>
    </w:p>
    <w:p w14:paraId="4A32F88E">
      <w:pPr>
        <w:pStyle w:val="25"/>
        <w:bidi w:val="0"/>
        <w:rPr>
          <w:rFonts w:hint="eastAsia"/>
          <w:color w:val="auto"/>
          <w:u w:val="single"/>
          <w:lang w:val="en-US" w:eastAsia="zh-CN"/>
        </w:rPr>
      </w:pPr>
      <w:r>
        <w:rPr>
          <w:rFonts w:hint="eastAsia"/>
          <w:color w:val="auto"/>
          <w:lang w:val="en-US" w:eastAsia="zh-CN"/>
        </w:rPr>
        <w:t>1.承诺方名称：</w:t>
      </w:r>
      <w:r>
        <w:rPr>
          <w:rFonts w:hint="eastAsia"/>
          <w:color w:val="auto"/>
          <w:u w:val="single"/>
          <w:lang w:val="en-US" w:eastAsia="zh-CN"/>
        </w:rPr>
        <w:t xml:space="preserve">                            （全称）</w:t>
      </w:r>
    </w:p>
    <w:p w14:paraId="19C4E29C">
      <w:pPr>
        <w:pStyle w:val="25"/>
        <w:bidi w:val="0"/>
        <w:rPr>
          <w:rFonts w:hint="default"/>
          <w:color w:val="auto"/>
          <w:u w:val="single"/>
          <w:lang w:val="en-US" w:eastAsia="zh-CN"/>
        </w:rPr>
      </w:pPr>
      <w:r>
        <w:rPr>
          <w:rFonts w:hint="eastAsia"/>
          <w:color w:val="auto"/>
          <w:lang w:val="en-US" w:eastAsia="zh-CN"/>
        </w:rPr>
        <w:t>统一社会信用代码：</w:t>
      </w:r>
      <w:r>
        <w:rPr>
          <w:rFonts w:hint="eastAsia"/>
          <w:color w:val="auto"/>
          <w:u w:val="single"/>
          <w:lang w:val="en-US" w:eastAsia="zh-CN"/>
        </w:rPr>
        <w:t xml:space="preserve">                                </w:t>
      </w:r>
    </w:p>
    <w:p w14:paraId="21F3C490">
      <w:pPr>
        <w:pStyle w:val="25"/>
        <w:bidi w:val="0"/>
        <w:rPr>
          <w:rFonts w:hint="eastAsia"/>
          <w:color w:val="auto"/>
          <w:lang w:val="en-US" w:eastAsia="zh-CN"/>
        </w:rPr>
      </w:pPr>
      <w:r>
        <w:rPr>
          <w:rFonts w:hint="eastAsia"/>
          <w:color w:val="auto"/>
          <w:lang w:val="en-US" w:eastAsia="zh-CN"/>
        </w:rPr>
        <w:t>法定代表人：</w:t>
      </w:r>
      <w:r>
        <w:rPr>
          <w:rFonts w:hint="eastAsia"/>
          <w:color w:val="auto"/>
          <w:u w:val="single"/>
          <w:lang w:val="en-US" w:eastAsia="zh-CN"/>
        </w:rPr>
        <w:t xml:space="preserve">                                      </w:t>
      </w:r>
    </w:p>
    <w:p w14:paraId="786736A0">
      <w:pPr>
        <w:pStyle w:val="25"/>
        <w:bidi w:val="0"/>
        <w:rPr>
          <w:rFonts w:hint="eastAsia"/>
          <w:color w:val="auto"/>
          <w:lang w:val="en-US" w:eastAsia="zh-CN"/>
        </w:rPr>
      </w:pPr>
      <w:r>
        <w:rPr>
          <w:rFonts w:hint="eastAsia"/>
          <w:color w:val="auto"/>
          <w:lang w:val="en-US" w:eastAsia="zh-CN"/>
        </w:rPr>
        <w:t>联系地址：</w:t>
      </w:r>
      <w:r>
        <w:rPr>
          <w:rFonts w:hint="eastAsia"/>
          <w:color w:val="auto"/>
          <w:u w:val="single"/>
          <w:lang w:val="en-US" w:eastAsia="zh-CN"/>
        </w:rPr>
        <w:t xml:space="preserve">                                        </w:t>
      </w:r>
    </w:p>
    <w:p w14:paraId="01A46127">
      <w:pPr>
        <w:pStyle w:val="25"/>
        <w:bidi w:val="0"/>
        <w:rPr>
          <w:rFonts w:hint="eastAsia"/>
          <w:color w:val="auto"/>
          <w:lang w:val="en-US" w:eastAsia="zh-CN"/>
        </w:rPr>
      </w:pPr>
      <w:r>
        <w:rPr>
          <w:rFonts w:hint="eastAsia"/>
          <w:color w:val="auto"/>
          <w:lang w:val="en-US" w:eastAsia="zh-CN"/>
        </w:rPr>
        <w:t>联系电话：</w:t>
      </w:r>
      <w:r>
        <w:rPr>
          <w:rFonts w:hint="eastAsia"/>
          <w:color w:val="auto"/>
          <w:u w:val="single"/>
          <w:lang w:val="en-US" w:eastAsia="zh-CN"/>
        </w:rPr>
        <w:t xml:space="preserve">                                        </w:t>
      </w:r>
    </w:p>
    <w:p w14:paraId="7EF9DDEB">
      <w:pPr>
        <w:pStyle w:val="25"/>
        <w:bidi w:val="0"/>
        <w:rPr>
          <w:rFonts w:hint="default"/>
          <w:color w:val="auto"/>
          <w:u w:val="single"/>
          <w:lang w:val="en-US" w:eastAsia="zh-CN"/>
        </w:rPr>
      </w:pPr>
      <w:r>
        <w:rPr>
          <w:rFonts w:hint="eastAsia"/>
          <w:color w:val="auto"/>
          <w:lang w:val="en-US" w:eastAsia="zh-CN"/>
        </w:rPr>
        <w:t xml:space="preserve">2.授权关系说明： </w:t>
      </w:r>
      <w:r>
        <w:rPr>
          <w:rFonts w:hint="eastAsia"/>
          <w:color w:val="auto"/>
          <w:u w:val="single"/>
          <w:lang w:val="en-US" w:eastAsia="zh-CN"/>
        </w:rPr>
        <w:t xml:space="preserve"> &lt;填（1）、（2）、（3）&gt;  </w:t>
      </w:r>
    </w:p>
    <w:p w14:paraId="4161D2FD">
      <w:pPr>
        <w:pStyle w:val="25"/>
        <w:bidi w:val="0"/>
        <w:rPr>
          <w:rFonts w:hint="eastAsia"/>
          <w:color w:val="auto"/>
          <w:lang w:val="en-US" w:eastAsia="zh-CN"/>
        </w:rPr>
      </w:pPr>
      <w:r>
        <w:rPr>
          <w:rFonts w:hint="eastAsia"/>
          <w:color w:val="auto"/>
          <w:lang w:val="en-US" w:eastAsia="zh-CN"/>
        </w:rPr>
        <w:t>⑴承诺方为所投产品制造商，具备合法生产资质，无需第三方授权；</w:t>
      </w:r>
    </w:p>
    <w:p w14:paraId="2B618BC9">
      <w:pPr>
        <w:pStyle w:val="25"/>
        <w:bidi w:val="0"/>
        <w:rPr>
          <w:rFonts w:hint="eastAsia"/>
          <w:color w:val="auto"/>
          <w:lang w:val="en-US" w:eastAsia="zh-CN"/>
        </w:rPr>
      </w:pPr>
      <w:r>
        <w:rPr>
          <w:rFonts w:hint="eastAsia"/>
          <w:color w:val="auto"/>
          <w:lang w:val="en-US" w:eastAsia="zh-CN"/>
        </w:rPr>
        <w:t>⑵承诺方为所投产品合法经销/代理商，已获得制造商（名称：</w:t>
      </w:r>
      <w:r>
        <w:rPr>
          <w:rFonts w:hint="eastAsia"/>
          <w:color w:val="auto"/>
          <w:u w:val="single"/>
          <w:lang w:val="en-US" w:eastAsia="zh-CN"/>
        </w:rPr>
        <w:t xml:space="preserve">      </w:t>
      </w:r>
      <w:r>
        <w:rPr>
          <w:rFonts w:hint="eastAsia"/>
          <w:color w:val="auto"/>
          <w:lang w:val="en-US" w:eastAsia="zh-CN"/>
        </w:rPr>
        <w:t>，统一社会信用代码：</w:t>
      </w:r>
      <w:r>
        <w:rPr>
          <w:rFonts w:hint="eastAsia"/>
          <w:color w:val="auto"/>
          <w:u w:val="single"/>
          <w:lang w:val="en-US" w:eastAsia="zh-CN"/>
        </w:rPr>
        <w:t xml:space="preserve">                   </w:t>
      </w:r>
      <w:r>
        <w:rPr>
          <w:rFonts w:hint="eastAsia"/>
          <w:color w:val="auto"/>
          <w:lang w:val="en-US" w:eastAsia="zh-CN"/>
        </w:rPr>
        <w:t>）针对本项目的专项授权；</w:t>
      </w:r>
    </w:p>
    <w:p w14:paraId="2224047E">
      <w:pPr>
        <w:pStyle w:val="25"/>
        <w:bidi w:val="0"/>
        <w:rPr>
          <w:rFonts w:hint="eastAsia"/>
          <w:color w:val="auto"/>
          <w:lang w:val="en-US" w:eastAsia="zh-CN"/>
        </w:rPr>
      </w:pPr>
      <w:r>
        <w:rPr>
          <w:rFonts w:hint="eastAsia"/>
          <w:color w:val="auto"/>
          <w:lang w:val="en-US" w:eastAsia="zh-CN"/>
        </w:rPr>
        <w:t>⑶承诺方暂未获得所投产品合法经销/代理商/制造商完整授权，承诺在成交结果公告结束后</w:t>
      </w:r>
      <w:r>
        <w:rPr>
          <w:rFonts w:hint="eastAsia"/>
          <w:color w:val="auto"/>
          <w:u w:val="single"/>
          <w:lang w:val="en-US" w:eastAsia="zh-CN"/>
        </w:rPr>
        <w:t xml:space="preserve">       </w:t>
      </w:r>
      <w:r>
        <w:rPr>
          <w:rFonts w:hint="eastAsia"/>
          <w:color w:val="auto"/>
          <w:lang w:val="en-US" w:eastAsia="zh-CN"/>
        </w:rPr>
        <w:t>日内取得并提供完整授权文件（含制造商资质证明及授权证明），确保授权真实有效、完整。</w:t>
      </w:r>
    </w:p>
    <w:p w14:paraId="3488812B">
      <w:pPr>
        <w:pStyle w:val="25"/>
        <w:bidi w:val="0"/>
        <w:rPr>
          <w:rFonts w:hint="eastAsia"/>
          <w:color w:val="auto"/>
          <w:lang w:val="en-US" w:eastAsia="zh-CN"/>
        </w:rPr>
      </w:pPr>
      <w:r>
        <w:rPr>
          <w:rFonts w:hint="eastAsia"/>
          <w:color w:val="auto"/>
          <w:lang w:val="en-US" w:eastAsia="zh-CN"/>
        </w:rPr>
        <w:t>二、资质合规承诺</w:t>
      </w:r>
    </w:p>
    <w:p w14:paraId="227B09E6">
      <w:pPr>
        <w:pStyle w:val="25"/>
        <w:bidi w:val="0"/>
        <w:rPr>
          <w:rFonts w:hint="eastAsia"/>
          <w:color w:val="auto"/>
          <w:lang w:val="en-US" w:eastAsia="zh-CN"/>
        </w:rPr>
      </w:pPr>
      <w:r>
        <w:rPr>
          <w:rFonts w:hint="eastAsia"/>
          <w:color w:val="auto"/>
          <w:lang w:val="en-US" w:eastAsia="zh-CN"/>
        </w:rPr>
        <w:t>1.所投试剂耗材均符合国家医疗器械管理相关规定，一类产品已取得备案凭证，二、三类产品已取得有效的《医疗器械注册证》及附件，产品技术参数、质量标准完全满足采购文件要求；</w:t>
      </w:r>
    </w:p>
    <w:p w14:paraId="29A35747">
      <w:pPr>
        <w:pStyle w:val="25"/>
        <w:bidi w:val="0"/>
        <w:rPr>
          <w:rFonts w:hint="eastAsia"/>
          <w:color w:val="auto"/>
          <w:lang w:val="en-US" w:eastAsia="zh-CN"/>
        </w:rPr>
      </w:pPr>
      <w:r>
        <w:rPr>
          <w:rFonts w:hint="eastAsia"/>
          <w:color w:val="auto"/>
          <w:lang w:val="en-US" w:eastAsia="zh-CN"/>
        </w:rPr>
        <w:t>2.承诺方具备与所投产品类别对应的经营资质：□第二类医疗器械经营备案凭证（编号：</w:t>
      </w:r>
      <w:r>
        <w:rPr>
          <w:rFonts w:hint="eastAsia"/>
          <w:color w:val="auto"/>
          <w:u w:val="single"/>
          <w:lang w:val="en-US" w:eastAsia="zh-CN"/>
        </w:rPr>
        <w:t xml:space="preserve">               </w:t>
      </w:r>
      <w:r>
        <w:rPr>
          <w:rFonts w:hint="eastAsia"/>
          <w:color w:val="auto"/>
          <w:lang w:val="en-US" w:eastAsia="zh-CN"/>
        </w:rPr>
        <w:t>） □第三类医疗器械经营许可证（编号：</w:t>
      </w:r>
      <w:r>
        <w:rPr>
          <w:rFonts w:hint="eastAsia"/>
          <w:color w:val="auto"/>
          <w:u w:val="single"/>
          <w:lang w:val="en-US" w:eastAsia="zh-CN"/>
        </w:rPr>
        <w:t xml:space="preserve">                  </w:t>
      </w:r>
      <w:r>
        <w:rPr>
          <w:rFonts w:hint="eastAsia"/>
          <w:color w:val="auto"/>
          <w:lang w:val="en-US" w:eastAsia="zh-CN"/>
        </w:rPr>
        <w:t>），经营范围覆盖所投产品；</w:t>
      </w:r>
    </w:p>
    <w:p w14:paraId="6270AC5E">
      <w:pPr>
        <w:pStyle w:val="25"/>
        <w:bidi w:val="0"/>
        <w:rPr>
          <w:rFonts w:hint="eastAsia"/>
          <w:color w:val="auto"/>
          <w:lang w:val="en-US" w:eastAsia="zh-CN"/>
        </w:rPr>
      </w:pPr>
      <w:r>
        <w:rPr>
          <w:rFonts w:hint="eastAsia"/>
          <w:color w:val="auto"/>
          <w:lang w:val="en-US" w:eastAsia="zh-CN"/>
        </w:rPr>
        <w:t>3.所投产品报价不高于重庆市药交所实时挂网价格，医保代码真实有效，符合重庆市医保政策相关要求；</w:t>
      </w:r>
    </w:p>
    <w:p w14:paraId="73AD1C7F">
      <w:pPr>
        <w:pStyle w:val="25"/>
        <w:bidi w:val="0"/>
        <w:rPr>
          <w:rFonts w:hint="eastAsia"/>
          <w:color w:val="auto"/>
          <w:lang w:val="en-US" w:eastAsia="zh-CN"/>
        </w:rPr>
      </w:pPr>
      <w:r>
        <w:rPr>
          <w:rFonts w:hint="eastAsia"/>
          <w:color w:val="auto"/>
          <w:lang w:val="en-US" w:eastAsia="zh-CN"/>
        </w:rPr>
        <w:t>4.提供的所有资质文件（营业执照、注册证、经营许可/备案凭证等）均真实、完整、在有效期内，无伪造、篡改或失效情况。</w:t>
      </w:r>
    </w:p>
    <w:p w14:paraId="062CF659">
      <w:pPr>
        <w:pStyle w:val="25"/>
        <w:bidi w:val="0"/>
        <w:rPr>
          <w:rFonts w:hint="eastAsia"/>
          <w:color w:val="auto"/>
          <w:lang w:val="en-US" w:eastAsia="zh-CN"/>
        </w:rPr>
      </w:pPr>
      <w:r>
        <w:rPr>
          <w:rFonts w:hint="eastAsia"/>
          <w:color w:val="auto"/>
          <w:lang w:val="en-US" w:eastAsia="zh-CN"/>
        </w:rPr>
        <w:t>三、信用及履约承诺</w:t>
      </w:r>
    </w:p>
    <w:p w14:paraId="66D40A21">
      <w:pPr>
        <w:pStyle w:val="25"/>
        <w:bidi w:val="0"/>
        <w:rPr>
          <w:rFonts w:hint="eastAsia"/>
          <w:color w:val="auto"/>
          <w:lang w:val="en-US" w:eastAsia="zh-CN"/>
        </w:rPr>
      </w:pPr>
      <w:r>
        <w:rPr>
          <w:rFonts w:hint="eastAsia"/>
          <w:color w:val="auto"/>
          <w:lang w:val="en-US" w:eastAsia="zh-CN"/>
        </w:rPr>
        <w:t>1.承诺方符合《中华人民共和国政府采购法》第二十二条规定的条件：具有独立承担民事责任的能力、良好的商业信誉和健全的财务会计制度、履行合同所必需的设备和专业技术能力、依法缴纳税收和社会保障资金的良好记录；</w:t>
      </w:r>
    </w:p>
    <w:p w14:paraId="0BA20CBA">
      <w:pPr>
        <w:pStyle w:val="25"/>
        <w:bidi w:val="0"/>
        <w:rPr>
          <w:rFonts w:hint="eastAsia"/>
          <w:color w:val="auto"/>
          <w:lang w:val="en-US" w:eastAsia="zh-CN"/>
        </w:rPr>
      </w:pPr>
      <w:r>
        <w:rPr>
          <w:rFonts w:hint="eastAsia"/>
          <w:color w:val="auto"/>
          <w:lang w:val="en-US" w:eastAsia="zh-CN"/>
        </w:rPr>
        <w:t>2.参加本次采购活动前3年内，在经营活动中无重大违法记录，未被列入“信用中国”网站失信被执行人、税收违法黑名单及中国政府采购网政府采购严重违法失信行为记录名单；</w:t>
      </w:r>
    </w:p>
    <w:p w14:paraId="24431E1E">
      <w:pPr>
        <w:pStyle w:val="25"/>
        <w:bidi w:val="0"/>
        <w:rPr>
          <w:rFonts w:hint="eastAsia"/>
          <w:color w:val="auto"/>
          <w:lang w:val="en-US" w:eastAsia="zh-CN"/>
        </w:rPr>
      </w:pPr>
      <w:r>
        <w:rPr>
          <w:rFonts w:hint="eastAsia"/>
          <w:color w:val="auto"/>
          <w:lang w:val="en-US" w:eastAsia="zh-CN"/>
        </w:rPr>
        <w:t>3.严格遵守医疗卫生行风建设相关规定，不向采购相关方提供商业贿赂、回扣或不正当利益，遵守廉洁从业要求；</w:t>
      </w:r>
    </w:p>
    <w:p w14:paraId="664C0FC9">
      <w:pPr>
        <w:pStyle w:val="25"/>
        <w:bidi w:val="0"/>
        <w:rPr>
          <w:rFonts w:hint="eastAsia"/>
          <w:color w:val="auto"/>
          <w:lang w:val="en-US" w:eastAsia="zh-CN"/>
        </w:rPr>
      </w:pPr>
      <w:r>
        <w:rPr>
          <w:rFonts w:hint="eastAsia"/>
          <w:color w:val="auto"/>
          <w:lang w:val="en-US" w:eastAsia="zh-CN"/>
        </w:rPr>
        <w:t>4.保证所投产品来源合法，质量合格，供货及时，严格按照合同约定提供售后服务，建立快速响应机制，确保临床使用需求；</w:t>
      </w:r>
    </w:p>
    <w:p w14:paraId="2A98730E">
      <w:pPr>
        <w:pStyle w:val="25"/>
        <w:bidi w:val="0"/>
        <w:rPr>
          <w:rFonts w:hint="default"/>
          <w:color w:val="auto"/>
          <w:lang w:val="en-US" w:eastAsia="zh-CN"/>
        </w:rPr>
      </w:pPr>
      <w:r>
        <w:rPr>
          <w:rFonts w:hint="eastAsia"/>
          <w:color w:val="auto"/>
          <w:lang w:val="en-US" w:eastAsia="zh-CN"/>
        </w:rPr>
        <w:t>5.严格遵守采购和配送过程中的相关保密要求，不得泄露招标和服务中获悉的国家秘密、商业秘密。</w:t>
      </w:r>
    </w:p>
    <w:p w14:paraId="250D3F7A">
      <w:pPr>
        <w:pStyle w:val="25"/>
        <w:bidi w:val="0"/>
        <w:rPr>
          <w:rFonts w:hint="eastAsia"/>
          <w:color w:val="auto"/>
          <w:lang w:val="en-US" w:eastAsia="zh-CN"/>
        </w:rPr>
      </w:pPr>
      <w:r>
        <w:rPr>
          <w:rFonts w:hint="eastAsia"/>
          <w:color w:val="auto"/>
          <w:lang w:val="en-US" w:eastAsia="zh-CN"/>
        </w:rPr>
        <w:t>四、违约责任</w:t>
      </w:r>
    </w:p>
    <w:p w14:paraId="6777A4DA">
      <w:pPr>
        <w:pStyle w:val="25"/>
        <w:bidi w:val="0"/>
        <w:rPr>
          <w:rFonts w:hint="eastAsia"/>
          <w:color w:val="auto"/>
          <w:lang w:val="en-US" w:eastAsia="zh-CN"/>
        </w:rPr>
      </w:pPr>
      <w:r>
        <w:rPr>
          <w:rFonts w:hint="eastAsia"/>
          <w:color w:val="auto"/>
          <w:lang w:val="en-US" w:eastAsia="zh-CN"/>
        </w:rPr>
        <w:t>1.若承诺方存在虚假授权、资质造假、信用状况不实等情况，视为提供虚假材料谋取成交，自愿接受取消中标/成交资格、列入不良行为记录名单、1-3年内禁止参与贵方采购活动的处罚；</w:t>
      </w:r>
    </w:p>
    <w:p w14:paraId="0744717E">
      <w:pPr>
        <w:pStyle w:val="25"/>
        <w:bidi w:val="0"/>
        <w:rPr>
          <w:rFonts w:hint="eastAsia"/>
          <w:color w:val="auto"/>
          <w:lang w:val="en-US" w:eastAsia="zh-CN"/>
        </w:rPr>
      </w:pPr>
      <w:r>
        <w:rPr>
          <w:rFonts w:hint="eastAsia"/>
          <w:color w:val="auto"/>
          <w:lang w:val="en-US" w:eastAsia="zh-CN"/>
        </w:rPr>
        <w:t>2.若未按承诺时限提供完整授权文件，或授权文件无效，自愿放弃中标/成交资格，承担由此给贵方造成的全部损失；</w:t>
      </w:r>
    </w:p>
    <w:p w14:paraId="611F8310">
      <w:pPr>
        <w:pStyle w:val="25"/>
        <w:bidi w:val="0"/>
        <w:rPr>
          <w:rFonts w:hint="eastAsia"/>
          <w:color w:val="auto"/>
          <w:lang w:val="en-US" w:eastAsia="zh-CN"/>
        </w:rPr>
      </w:pPr>
      <w:r>
        <w:rPr>
          <w:rFonts w:hint="eastAsia"/>
          <w:color w:val="auto"/>
          <w:lang w:val="en-US" w:eastAsia="zh-CN"/>
        </w:rPr>
        <w:t>3.若违反本承诺其他约定，愿承担《中华人民共和国政府采购法》《医疗器械监督管理条例》等相关法律法规规定的法律责任，赔偿贵方全部经济损失。</w:t>
      </w:r>
    </w:p>
    <w:p w14:paraId="5E127B4A">
      <w:pPr>
        <w:pStyle w:val="25"/>
        <w:bidi w:val="0"/>
        <w:rPr>
          <w:rFonts w:hint="eastAsia"/>
          <w:color w:val="auto"/>
          <w:lang w:val="en-US" w:eastAsia="zh-CN"/>
        </w:rPr>
      </w:pPr>
      <w:r>
        <w:rPr>
          <w:rFonts w:hint="eastAsia"/>
          <w:color w:val="auto"/>
          <w:lang w:val="en-US" w:eastAsia="zh-CN"/>
        </w:rPr>
        <w:t>4.本承诺函自签署之日起生效，有效期至本项目合同履行完毕之日止。</w:t>
      </w:r>
    </w:p>
    <w:p w14:paraId="6F3D91BE">
      <w:pPr>
        <w:pStyle w:val="25"/>
        <w:bidi w:val="0"/>
        <w:rPr>
          <w:rFonts w:hint="eastAsia"/>
          <w:color w:val="auto"/>
          <w:lang w:val="en-US" w:eastAsia="zh-CN"/>
        </w:rPr>
      </w:pPr>
    </w:p>
    <w:p w14:paraId="0A0C0B0B">
      <w:pPr>
        <w:pStyle w:val="25"/>
        <w:bidi w:val="0"/>
        <w:ind w:firstLine="4080" w:firstLineChars="1700"/>
        <w:rPr>
          <w:rFonts w:hint="eastAsia"/>
          <w:color w:val="auto"/>
          <w:lang w:val="en-US" w:eastAsia="zh-CN"/>
        </w:rPr>
      </w:pPr>
      <w:r>
        <w:rPr>
          <w:rFonts w:hint="eastAsia"/>
          <w:color w:val="auto"/>
          <w:lang w:val="en-US" w:eastAsia="zh-CN"/>
        </w:rPr>
        <w:t>承诺方（单位公章）：</w:t>
      </w:r>
    </w:p>
    <w:p w14:paraId="0DEDB16A">
      <w:pPr>
        <w:pStyle w:val="25"/>
        <w:bidi w:val="0"/>
        <w:ind w:firstLine="4080" w:firstLineChars="1700"/>
        <w:rPr>
          <w:rFonts w:hint="eastAsia"/>
          <w:color w:val="auto"/>
          <w:lang w:val="en-US" w:eastAsia="zh-CN"/>
        </w:rPr>
      </w:pPr>
      <w:r>
        <w:rPr>
          <w:rFonts w:hint="eastAsia"/>
          <w:color w:val="auto"/>
          <w:lang w:val="en-US" w:eastAsia="zh-CN"/>
        </w:rPr>
        <w:t>法定代表人/授权代表（签字）：</w:t>
      </w:r>
    </w:p>
    <w:p w14:paraId="7D3BA512">
      <w:pPr>
        <w:pStyle w:val="25"/>
        <w:bidi w:val="0"/>
        <w:ind w:firstLine="4080" w:firstLineChars="1700"/>
        <w:rPr>
          <w:rFonts w:hint="eastAsia"/>
          <w:color w:val="auto"/>
          <w:lang w:val="en-US" w:eastAsia="zh-CN"/>
        </w:rPr>
        <w:sectPr>
          <w:pgSz w:w="11907" w:h="16840"/>
          <w:pgMar w:top="1134" w:right="1191" w:bottom="1134" w:left="1304" w:header="851" w:footer="992" w:gutter="0"/>
          <w:pgNumType w:fmt="decimal"/>
          <w:cols w:space="720" w:num="1"/>
          <w:docGrid w:linePitch="380" w:charSpace="-5735"/>
        </w:sectPr>
      </w:pPr>
      <w:r>
        <w:rPr>
          <w:rFonts w:hint="eastAsia"/>
          <w:color w:val="auto"/>
          <w:lang w:val="en-US" w:eastAsia="zh-CN"/>
        </w:rPr>
        <w:t>日期：    年    月    日</w:t>
      </w:r>
    </w:p>
    <w:p w14:paraId="30128F35">
      <w:pPr>
        <w:pStyle w:val="25"/>
        <w:numPr>
          <w:ilvl w:val="0"/>
          <w:numId w:val="0"/>
        </w:numPr>
        <w:bidi w:val="0"/>
        <w:ind w:leftChars="200"/>
        <w:rPr>
          <w:rFonts w:hint="eastAsia"/>
          <w:color w:val="auto"/>
          <w:lang w:eastAsia="zh-CN"/>
        </w:rPr>
      </w:pPr>
      <w:r>
        <w:rPr>
          <w:rFonts w:hint="default" w:ascii="Times New Roman" w:hAnsi="Times New Roman" w:eastAsia="方正仿宋_GBK" w:cs="Times New Roman"/>
          <w:color w:val="auto"/>
          <w:sz w:val="24"/>
          <w:szCs w:val="28"/>
          <w:highlight w:val="none"/>
        </w:rPr>
        <w:t>（</w:t>
      </w:r>
      <w:r>
        <w:rPr>
          <w:rFonts w:hint="eastAsia" w:ascii="Times New Roman" w:hAnsi="Times New Roman" w:cs="Times New Roman"/>
          <w:color w:val="auto"/>
          <w:sz w:val="24"/>
          <w:szCs w:val="28"/>
          <w:highlight w:val="none"/>
          <w:lang w:val="en-US" w:eastAsia="zh-CN"/>
        </w:rPr>
        <w:t>七</w:t>
      </w:r>
      <w:r>
        <w:rPr>
          <w:rFonts w:hint="default" w:ascii="Times New Roman" w:hAnsi="Times New Roman" w:eastAsia="方正仿宋_GBK" w:cs="Times New Roman"/>
          <w:color w:val="auto"/>
          <w:sz w:val="24"/>
          <w:szCs w:val="28"/>
          <w:highlight w:val="none"/>
        </w:rPr>
        <w:t>）</w:t>
      </w:r>
      <w:r>
        <w:rPr>
          <w:rFonts w:hint="eastAsia"/>
          <w:color w:val="auto"/>
          <w:lang w:eastAsia="zh-CN"/>
        </w:rPr>
        <w:t>特定资格条件证明文件</w:t>
      </w:r>
    </w:p>
    <w:p w14:paraId="2DEC95C7">
      <w:pPr>
        <w:pStyle w:val="25"/>
        <w:bidi w:val="0"/>
        <w:rPr>
          <w:rFonts w:hint="eastAsia"/>
          <w:color w:val="auto"/>
          <w:lang w:val="en-US" w:eastAsia="zh-CN"/>
        </w:rPr>
      </w:pPr>
      <w:r>
        <w:rPr>
          <w:rFonts w:hint="eastAsia"/>
          <w:color w:val="auto"/>
          <w:lang w:val="en-US" w:eastAsia="zh-CN"/>
        </w:rPr>
        <w:t>1.供应商医疗器械经营许可证</w:t>
      </w:r>
    </w:p>
    <w:p w14:paraId="750F4F87">
      <w:pPr>
        <w:pStyle w:val="25"/>
        <w:bidi w:val="0"/>
        <w:rPr>
          <w:rFonts w:hint="eastAsia"/>
          <w:color w:val="auto"/>
          <w:lang w:val="en-US" w:eastAsia="zh-CN"/>
        </w:rPr>
      </w:pPr>
      <w:r>
        <w:rPr>
          <w:rFonts w:hint="eastAsia"/>
          <w:color w:val="auto"/>
          <w:lang w:val="en-US" w:eastAsia="zh-CN"/>
        </w:rPr>
        <w:t>2.产品制造商的医疗器械生产许可证</w:t>
      </w:r>
    </w:p>
    <w:p w14:paraId="28AD42BA">
      <w:pPr>
        <w:pStyle w:val="25"/>
        <w:bidi w:val="0"/>
        <w:rPr>
          <w:rFonts w:hint="eastAsia"/>
          <w:color w:val="auto"/>
          <w:lang w:val="en-US" w:eastAsia="zh-CN"/>
        </w:rPr>
      </w:pPr>
      <w:r>
        <w:rPr>
          <w:rFonts w:hint="eastAsia"/>
          <w:color w:val="auto"/>
          <w:lang w:val="en-US" w:eastAsia="zh-CN"/>
        </w:rPr>
        <w:t>3.医疗设备的《医疗器械注册证（或备案证明材料）》</w:t>
      </w:r>
    </w:p>
    <w:p w14:paraId="56237B17">
      <w:pPr>
        <w:pStyle w:val="25"/>
        <w:bidi w:val="0"/>
        <w:rPr>
          <w:rFonts w:hint="eastAsia"/>
          <w:color w:val="auto"/>
          <w:lang w:val="en-US" w:eastAsia="zh-CN"/>
        </w:rPr>
      </w:pPr>
      <w:r>
        <w:rPr>
          <w:rFonts w:hint="eastAsia"/>
          <w:color w:val="auto"/>
          <w:lang w:val="en-US" w:eastAsia="zh-CN"/>
        </w:rPr>
        <w:t>4.试剂、耗材的《医疗器械注册证（或备案证明材料）》</w:t>
      </w:r>
    </w:p>
    <w:p w14:paraId="2E1545E0">
      <w:pPr>
        <w:pStyle w:val="25"/>
        <w:numPr>
          <w:ilvl w:val="0"/>
          <w:numId w:val="6"/>
        </w:numPr>
        <w:bidi w:val="0"/>
        <w:ind w:left="0" w:leftChars="0" w:firstLine="480" w:firstLineChars="200"/>
        <w:rPr>
          <w:rFonts w:hint="eastAsia"/>
          <w:color w:val="auto"/>
          <w:lang w:eastAsia="zh-CN"/>
        </w:rPr>
        <w:sectPr>
          <w:pgSz w:w="11907" w:h="16840"/>
          <w:pgMar w:top="1134" w:right="1191" w:bottom="1134" w:left="1304" w:header="851" w:footer="992" w:gutter="0"/>
          <w:pgNumType w:fmt="decimal"/>
          <w:cols w:space="720" w:num="1"/>
          <w:docGrid w:linePitch="380" w:charSpace="-5735"/>
        </w:sectPr>
      </w:pPr>
    </w:p>
    <w:bookmarkEnd w:id="21"/>
    <w:p w14:paraId="4EB3E4F3">
      <w:pPr>
        <w:pStyle w:val="25"/>
        <w:bidi w:val="0"/>
        <w:rPr>
          <w:rFonts w:hint="eastAsia"/>
          <w:color w:val="auto"/>
          <w:lang w:val="en-US" w:eastAsia="zh-CN"/>
        </w:rPr>
      </w:pPr>
      <w:r>
        <w:rPr>
          <w:rFonts w:hint="eastAsia"/>
          <w:color w:val="auto"/>
          <w:lang w:val="en-US" w:eastAsia="zh-CN"/>
        </w:rPr>
        <w:t>（八）其他证明材料</w:t>
      </w:r>
    </w:p>
    <w:p w14:paraId="5A09951A">
      <w:pP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p>
    <w:sectPr>
      <w:headerReference r:id="rId9" w:type="default"/>
      <w:footerReference r:id="rId10" w:type="default"/>
      <w:pgSz w:w="11907" w:h="16840"/>
      <w:pgMar w:top="1134" w:right="1191" w:bottom="1134" w:left="1304" w:header="96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9AAC">
    <w:pPr>
      <w:tabs>
        <w:tab w:val="center" w:pos="4153"/>
        <w:tab w:val="right" w:pos="8306"/>
      </w:tabs>
      <w:rPr>
        <w:rFonts w:hint="default" w:ascii="Times New Roman" w:hAnsi="Times New Roman" w:cs="Times New Roman"/>
      </w:rPr>
    </w:pPr>
    <w:r>
      <w:rPr>
        <w:rFonts w:hint="default" w:ascii="Times New Roman" w:hAnsi="Times New Roman" w:cs="Times New Roman"/>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D7D096F">
                          <w:pPr>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D7D096F">
                    <w:pPr>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05F2">
    <w:pPr>
      <w:tabs>
        <w:tab w:val="center" w:pos="4153"/>
        <w:tab w:val="right" w:pos="8306"/>
      </w:tabs>
      <w:ind w:right="36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A1AEE">
                          <w:pPr>
                            <w:tabs>
                              <w:tab w:val="center" w:pos="4153"/>
                              <w:tab w:val="right" w:pos="8306"/>
                            </w:tabs>
                            <w:ind w:right="360"/>
                            <w:jc w:val="center"/>
                          </w:pPr>
                          <w:r>
                            <w:fldChar w:fldCharType="begin"/>
                          </w:r>
                          <w:r>
                            <w:instrText xml:space="preserve"> PAGE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EA1AEE">
                    <w:pPr>
                      <w:tabs>
                        <w:tab w:val="center" w:pos="4153"/>
                        <w:tab w:val="right" w:pos="8306"/>
                      </w:tabs>
                      <w:ind w:right="360"/>
                      <w:jc w:val="center"/>
                    </w:pPr>
                    <w:r>
                      <w:fldChar w:fldCharType="begin"/>
                    </w:r>
                    <w:r>
                      <w:instrText xml:space="preserve"> PAGE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68497">
    <w:pPr>
      <w:tabs>
        <w:tab w:val="center" w:pos="4153"/>
        <w:tab w:val="right" w:pos="8306"/>
      </w:tabs>
      <w:rPr>
        <w:rFonts w:hint="eastAsia"/>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205BB4">
                          <w:pPr>
                            <w:pStyle w:val="17"/>
                            <w:tabs>
                              <w:tab w:val="center" w:pos="4140"/>
                              <w:tab w:val="right" w:pos="8300"/>
                            </w:tabs>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2E205BB4">
                    <w:pPr>
                      <w:pStyle w:val="17"/>
                      <w:tabs>
                        <w:tab w:val="center" w:pos="4140"/>
                        <w:tab w:val="right" w:pos="8300"/>
                      </w:tabs>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1C82">
    <w:pPr>
      <w:tabs>
        <w:tab w:val="center" w:pos="4153"/>
        <w:tab w:val="right" w:pos="8306"/>
      </w:tabs>
      <w:ind w:right="360"/>
      <w:jc w:val="cente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7AD71">
                          <w:pPr>
                            <w:tabs>
                              <w:tab w:val="center" w:pos="4153"/>
                              <w:tab w:val="right" w:pos="8306"/>
                            </w:tabs>
                            <w:ind w:right="360"/>
                            <w:jc w:val="center"/>
                            <w:rPr>
                              <w:color w:val="000000" w:themeColor="text1"/>
                              <w:sz w:val="21"/>
                              <w:szCs w:val="15"/>
                              <w14:textFill>
                                <w14:solidFill>
                                  <w14:schemeClr w14:val="tx1"/>
                                </w14:solidFill>
                              </w14:textFill>
                            </w:rPr>
                          </w:pPr>
                          <w:r>
                            <w:rPr>
                              <w:color w:val="000000" w:themeColor="text1"/>
                              <w:sz w:val="21"/>
                              <w:szCs w:val="15"/>
                              <w14:textFill>
                                <w14:solidFill>
                                  <w14:schemeClr w14:val="tx1"/>
                                </w14:solidFill>
                              </w14:textFill>
                            </w:rPr>
                            <w:fldChar w:fldCharType="begin"/>
                          </w:r>
                          <w:r>
                            <w:rPr>
                              <w:color w:val="000000" w:themeColor="text1"/>
                              <w:sz w:val="21"/>
                              <w:szCs w:val="15"/>
                              <w14:textFill>
                                <w14:solidFill>
                                  <w14:schemeClr w14:val="tx1"/>
                                </w14:solidFill>
                              </w14:textFill>
                            </w:rPr>
                            <w:instrText xml:space="preserve"> PAGE </w:instrText>
                          </w:r>
                          <w:r>
                            <w:rPr>
                              <w:color w:val="000000" w:themeColor="text1"/>
                              <w:sz w:val="21"/>
                              <w:szCs w:val="15"/>
                              <w14:textFill>
                                <w14:solidFill>
                                  <w14:schemeClr w14:val="tx1"/>
                                </w14:solidFill>
                              </w14:textFill>
                            </w:rPr>
                            <w:fldChar w:fldCharType="separate"/>
                          </w:r>
                          <w:r>
                            <w:rPr>
                              <w:color w:val="000000" w:themeColor="text1"/>
                              <w:sz w:val="21"/>
                              <w:szCs w:val="15"/>
                              <w14:textFill>
                                <w14:solidFill>
                                  <w14:schemeClr w14:val="tx1"/>
                                </w14:solidFill>
                              </w14:textFill>
                            </w:rPr>
                            <w:t>- 23 -</w:t>
                          </w:r>
                          <w:r>
                            <w:rPr>
                              <w:color w:val="000000" w:themeColor="text1"/>
                              <w:sz w:val="21"/>
                              <w:szCs w:val="15"/>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37AD71">
                    <w:pPr>
                      <w:tabs>
                        <w:tab w:val="center" w:pos="4153"/>
                        <w:tab w:val="right" w:pos="8306"/>
                      </w:tabs>
                      <w:ind w:right="360"/>
                      <w:jc w:val="center"/>
                      <w:rPr>
                        <w:color w:val="000000" w:themeColor="text1"/>
                        <w:sz w:val="21"/>
                        <w:szCs w:val="15"/>
                        <w14:textFill>
                          <w14:solidFill>
                            <w14:schemeClr w14:val="tx1"/>
                          </w14:solidFill>
                        </w14:textFill>
                      </w:rPr>
                    </w:pPr>
                    <w:r>
                      <w:rPr>
                        <w:color w:val="000000" w:themeColor="text1"/>
                        <w:sz w:val="21"/>
                        <w:szCs w:val="15"/>
                        <w14:textFill>
                          <w14:solidFill>
                            <w14:schemeClr w14:val="tx1"/>
                          </w14:solidFill>
                        </w14:textFill>
                      </w:rPr>
                      <w:fldChar w:fldCharType="begin"/>
                    </w:r>
                    <w:r>
                      <w:rPr>
                        <w:color w:val="000000" w:themeColor="text1"/>
                        <w:sz w:val="21"/>
                        <w:szCs w:val="15"/>
                        <w14:textFill>
                          <w14:solidFill>
                            <w14:schemeClr w14:val="tx1"/>
                          </w14:solidFill>
                        </w14:textFill>
                      </w:rPr>
                      <w:instrText xml:space="preserve"> PAGE </w:instrText>
                    </w:r>
                    <w:r>
                      <w:rPr>
                        <w:color w:val="000000" w:themeColor="text1"/>
                        <w:sz w:val="21"/>
                        <w:szCs w:val="15"/>
                        <w14:textFill>
                          <w14:solidFill>
                            <w14:schemeClr w14:val="tx1"/>
                          </w14:solidFill>
                        </w14:textFill>
                      </w:rPr>
                      <w:fldChar w:fldCharType="separate"/>
                    </w:r>
                    <w:r>
                      <w:rPr>
                        <w:color w:val="000000" w:themeColor="text1"/>
                        <w:sz w:val="21"/>
                        <w:szCs w:val="15"/>
                        <w14:textFill>
                          <w14:solidFill>
                            <w14:schemeClr w14:val="tx1"/>
                          </w14:solidFill>
                        </w14:textFill>
                      </w:rPr>
                      <w:t>- 23 -</w:t>
                    </w:r>
                    <w:r>
                      <w:rPr>
                        <w:color w:val="000000" w:themeColor="text1"/>
                        <w:sz w:val="21"/>
                        <w:szCs w:val="15"/>
                        <w14:textFill>
                          <w14:solidFill>
                            <w14:schemeClr w14:val="tx1"/>
                          </w14:solidFill>
                        </w14:textFil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68936">
    <w:pPr>
      <w:pBdr>
        <w:bottom w:val="none" w:color="auto" w:sz="0" w:space="1"/>
      </w:pBdr>
      <w:tabs>
        <w:tab w:val="left" w:pos="2400"/>
        <w:tab w:val="center" w:pos="4153"/>
        <w:tab w:val="right" w:pos="8306"/>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F7C70">
    <w:pPr>
      <w:pBdr>
        <w:bottom w:val="none" w:color="auto" w:sz="0" w:space="1"/>
      </w:pBdr>
      <w:tabs>
        <w:tab w:val="center" w:pos="4153"/>
        <w:tab w:val="right" w:pos="8306"/>
      </w:tabs>
      <w:jc w:val="left"/>
      <w:rPr>
        <w:rFonts w:hint="eastAsia" w:ascii="方正仿宋_GBK" w:eastAsia="方正仿宋_GBK"/>
        <w:sz w:val="21"/>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CB1C">
    <w:pPr>
      <w:pBdr>
        <w:bottom w:val="none" w:color="auto" w:sz="0" w:space="1"/>
      </w:pBdr>
      <w:tabs>
        <w:tab w:val="center" w:pos="4153"/>
        <w:tab w:val="right" w:pos="8306"/>
      </w:tabs>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E611D">
    <w:pPr>
      <w:tabs>
        <w:tab w:val="center" w:pos="4153"/>
        <w:tab w:val="right"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7331"/>
    <w:multiLevelType w:val="multilevel"/>
    <w:tmpl w:val="A8A87331"/>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
    <w:nsid w:val="00000001"/>
    <w:multiLevelType w:val="multilevel"/>
    <w:tmpl w:val="00000001"/>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
    <w:nsid w:val="00000002"/>
    <w:multiLevelType w:val="multilevel"/>
    <w:tmpl w:val="00000002"/>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5087903"/>
    <w:multiLevelType w:val="multilevel"/>
    <w:tmpl w:val="25087903"/>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
    <w:nsid w:val="61C1B7A1"/>
    <w:multiLevelType w:val="singleLevel"/>
    <w:tmpl w:val="61C1B7A1"/>
    <w:lvl w:ilvl="0" w:tentative="0">
      <w:start w:val="2"/>
      <w:numFmt w:val="chineseCounting"/>
      <w:suff w:val="space"/>
      <w:lvlText w:val="第%1篇"/>
      <w:lvlJc w:val="left"/>
      <w:rPr>
        <w:rFonts w:hint="eastAsia"/>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ZmZjMDY3ZGVhMmUyNWQwYzk2ZmVlYzRmMTQ1NTMifQ=="/>
  </w:docVars>
  <w:rsids>
    <w:rsidRoot w:val="00172A27"/>
    <w:rsid w:val="00003F63"/>
    <w:rsid w:val="00005B1F"/>
    <w:rsid w:val="00005CB8"/>
    <w:rsid w:val="000062EA"/>
    <w:rsid w:val="000062F2"/>
    <w:rsid w:val="00006557"/>
    <w:rsid w:val="0001114D"/>
    <w:rsid w:val="000118A6"/>
    <w:rsid w:val="00011AF1"/>
    <w:rsid w:val="00011B7E"/>
    <w:rsid w:val="00011C75"/>
    <w:rsid w:val="00016566"/>
    <w:rsid w:val="00016C7C"/>
    <w:rsid w:val="0001786B"/>
    <w:rsid w:val="000211E2"/>
    <w:rsid w:val="00021EEC"/>
    <w:rsid w:val="0002520E"/>
    <w:rsid w:val="00025EFC"/>
    <w:rsid w:val="00027AD8"/>
    <w:rsid w:val="00027AEE"/>
    <w:rsid w:val="00030588"/>
    <w:rsid w:val="000306E0"/>
    <w:rsid w:val="00033F2D"/>
    <w:rsid w:val="00034A67"/>
    <w:rsid w:val="00035126"/>
    <w:rsid w:val="00036271"/>
    <w:rsid w:val="0003767C"/>
    <w:rsid w:val="000376BA"/>
    <w:rsid w:val="00037BB9"/>
    <w:rsid w:val="00042250"/>
    <w:rsid w:val="00042B41"/>
    <w:rsid w:val="000431E6"/>
    <w:rsid w:val="00043311"/>
    <w:rsid w:val="000436FF"/>
    <w:rsid w:val="00045799"/>
    <w:rsid w:val="00045E7B"/>
    <w:rsid w:val="0004751D"/>
    <w:rsid w:val="00047EB2"/>
    <w:rsid w:val="00050187"/>
    <w:rsid w:val="00054408"/>
    <w:rsid w:val="00056058"/>
    <w:rsid w:val="00056881"/>
    <w:rsid w:val="00056C6F"/>
    <w:rsid w:val="00057C1E"/>
    <w:rsid w:val="00057F54"/>
    <w:rsid w:val="00060807"/>
    <w:rsid w:val="00060B3D"/>
    <w:rsid w:val="00063C18"/>
    <w:rsid w:val="0006459A"/>
    <w:rsid w:val="00064AF0"/>
    <w:rsid w:val="0006572E"/>
    <w:rsid w:val="00065AC9"/>
    <w:rsid w:val="00066D40"/>
    <w:rsid w:val="00070EA9"/>
    <w:rsid w:val="0007209C"/>
    <w:rsid w:val="00072A9C"/>
    <w:rsid w:val="00073732"/>
    <w:rsid w:val="00075520"/>
    <w:rsid w:val="000765C0"/>
    <w:rsid w:val="00081F14"/>
    <w:rsid w:val="00082092"/>
    <w:rsid w:val="00083669"/>
    <w:rsid w:val="0008790D"/>
    <w:rsid w:val="000903E3"/>
    <w:rsid w:val="000946BD"/>
    <w:rsid w:val="00094D91"/>
    <w:rsid w:val="00096A49"/>
    <w:rsid w:val="000A2A16"/>
    <w:rsid w:val="000A3027"/>
    <w:rsid w:val="000A6A33"/>
    <w:rsid w:val="000A6A64"/>
    <w:rsid w:val="000B2716"/>
    <w:rsid w:val="000B30DD"/>
    <w:rsid w:val="000B3752"/>
    <w:rsid w:val="000B400D"/>
    <w:rsid w:val="000B43CC"/>
    <w:rsid w:val="000B4F9F"/>
    <w:rsid w:val="000B547F"/>
    <w:rsid w:val="000C2017"/>
    <w:rsid w:val="000C2BAB"/>
    <w:rsid w:val="000C3161"/>
    <w:rsid w:val="000C4847"/>
    <w:rsid w:val="000C5718"/>
    <w:rsid w:val="000C5AAE"/>
    <w:rsid w:val="000D016E"/>
    <w:rsid w:val="000E0F2C"/>
    <w:rsid w:val="000E31AA"/>
    <w:rsid w:val="000E43DC"/>
    <w:rsid w:val="000E5A24"/>
    <w:rsid w:val="000F04EB"/>
    <w:rsid w:val="000F16AA"/>
    <w:rsid w:val="000F176A"/>
    <w:rsid w:val="000F1C95"/>
    <w:rsid w:val="000F36A1"/>
    <w:rsid w:val="000F3D7A"/>
    <w:rsid w:val="000F4CDB"/>
    <w:rsid w:val="000F5D7D"/>
    <w:rsid w:val="000F64C6"/>
    <w:rsid w:val="000F6D35"/>
    <w:rsid w:val="000F7F37"/>
    <w:rsid w:val="00100F4B"/>
    <w:rsid w:val="00104022"/>
    <w:rsid w:val="001103D7"/>
    <w:rsid w:val="00110AA3"/>
    <w:rsid w:val="0011126A"/>
    <w:rsid w:val="0011194D"/>
    <w:rsid w:val="00111E65"/>
    <w:rsid w:val="00113894"/>
    <w:rsid w:val="00113D49"/>
    <w:rsid w:val="00114938"/>
    <w:rsid w:val="00117262"/>
    <w:rsid w:val="00117E5F"/>
    <w:rsid w:val="0012220B"/>
    <w:rsid w:val="00122F95"/>
    <w:rsid w:val="0012307B"/>
    <w:rsid w:val="0012382A"/>
    <w:rsid w:val="00124BED"/>
    <w:rsid w:val="001274FB"/>
    <w:rsid w:val="00130E62"/>
    <w:rsid w:val="00135135"/>
    <w:rsid w:val="00135250"/>
    <w:rsid w:val="001407F6"/>
    <w:rsid w:val="00141473"/>
    <w:rsid w:val="00151A33"/>
    <w:rsid w:val="00151AFC"/>
    <w:rsid w:val="001523CB"/>
    <w:rsid w:val="001523EB"/>
    <w:rsid w:val="001528C6"/>
    <w:rsid w:val="001528E5"/>
    <w:rsid w:val="00154FD3"/>
    <w:rsid w:val="0015565B"/>
    <w:rsid w:val="00161378"/>
    <w:rsid w:val="00161645"/>
    <w:rsid w:val="00161F30"/>
    <w:rsid w:val="00162567"/>
    <w:rsid w:val="00162662"/>
    <w:rsid w:val="001660A6"/>
    <w:rsid w:val="00166C0B"/>
    <w:rsid w:val="001706FA"/>
    <w:rsid w:val="00172A27"/>
    <w:rsid w:val="001737CE"/>
    <w:rsid w:val="001737D3"/>
    <w:rsid w:val="00175275"/>
    <w:rsid w:val="00177B59"/>
    <w:rsid w:val="0018309C"/>
    <w:rsid w:val="00185CC0"/>
    <w:rsid w:val="001864B0"/>
    <w:rsid w:val="00186B00"/>
    <w:rsid w:val="001872BF"/>
    <w:rsid w:val="001919B8"/>
    <w:rsid w:val="00192B2B"/>
    <w:rsid w:val="00192C95"/>
    <w:rsid w:val="00192E3C"/>
    <w:rsid w:val="00194CAB"/>
    <w:rsid w:val="0019544C"/>
    <w:rsid w:val="00195D1C"/>
    <w:rsid w:val="001A0940"/>
    <w:rsid w:val="001A2529"/>
    <w:rsid w:val="001A520D"/>
    <w:rsid w:val="001A589B"/>
    <w:rsid w:val="001A68E2"/>
    <w:rsid w:val="001A72AF"/>
    <w:rsid w:val="001A7456"/>
    <w:rsid w:val="001B2ADB"/>
    <w:rsid w:val="001B38F8"/>
    <w:rsid w:val="001B3DED"/>
    <w:rsid w:val="001B6530"/>
    <w:rsid w:val="001B7B90"/>
    <w:rsid w:val="001C062C"/>
    <w:rsid w:val="001C0EFA"/>
    <w:rsid w:val="001C1D2F"/>
    <w:rsid w:val="001C237C"/>
    <w:rsid w:val="001C2A1D"/>
    <w:rsid w:val="001C4281"/>
    <w:rsid w:val="001C4452"/>
    <w:rsid w:val="001C654C"/>
    <w:rsid w:val="001C6781"/>
    <w:rsid w:val="001D14EE"/>
    <w:rsid w:val="001D1AF9"/>
    <w:rsid w:val="001D3B7E"/>
    <w:rsid w:val="001D7EB8"/>
    <w:rsid w:val="001E165B"/>
    <w:rsid w:val="001E2A0C"/>
    <w:rsid w:val="001E4DBB"/>
    <w:rsid w:val="001E4F32"/>
    <w:rsid w:val="001E508F"/>
    <w:rsid w:val="001E55BC"/>
    <w:rsid w:val="001E5D20"/>
    <w:rsid w:val="001E7C45"/>
    <w:rsid w:val="001E7FE5"/>
    <w:rsid w:val="001F1277"/>
    <w:rsid w:val="001F4231"/>
    <w:rsid w:val="001F567A"/>
    <w:rsid w:val="001F6757"/>
    <w:rsid w:val="001F7758"/>
    <w:rsid w:val="001F77C0"/>
    <w:rsid w:val="001F7843"/>
    <w:rsid w:val="002015EE"/>
    <w:rsid w:val="00201727"/>
    <w:rsid w:val="00205D47"/>
    <w:rsid w:val="00206FC0"/>
    <w:rsid w:val="00207060"/>
    <w:rsid w:val="00207421"/>
    <w:rsid w:val="00210201"/>
    <w:rsid w:val="002103FE"/>
    <w:rsid w:val="002104C1"/>
    <w:rsid w:val="00213416"/>
    <w:rsid w:val="00217564"/>
    <w:rsid w:val="002209EF"/>
    <w:rsid w:val="00220E78"/>
    <w:rsid w:val="00222AF7"/>
    <w:rsid w:val="00223B03"/>
    <w:rsid w:val="00224F65"/>
    <w:rsid w:val="00224F8E"/>
    <w:rsid w:val="0022711C"/>
    <w:rsid w:val="00227C0E"/>
    <w:rsid w:val="00232D8E"/>
    <w:rsid w:val="00233AFE"/>
    <w:rsid w:val="0023500B"/>
    <w:rsid w:val="00240E00"/>
    <w:rsid w:val="00242F3E"/>
    <w:rsid w:val="00245FD6"/>
    <w:rsid w:val="00246B3E"/>
    <w:rsid w:val="00246BE5"/>
    <w:rsid w:val="002503D7"/>
    <w:rsid w:val="00250E35"/>
    <w:rsid w:val="0025137D"/>
    <w:rsid w:val="00252999"/>
    <w:rsid w:val="0025308A"/>
    <w:rsid w:val="002557C7"/>
    <w:rsid w:val="00257063"/>
    <w:rsid w:val="00262267"/>
    <w:rsid w:val="00263984"/>
    <w:rsid w:val="00263C8F"/>
    <w:rsid w:val="00264C89"/>
    <w:rsid w:val="00264E13"/>
    <w:rsid w:val="00265553"/>
    <w:rsid w:val="00265CB5"/>
    <w:rsid w:val="00265E33"/>
    <w:rsid w:val="0027053A"/>
    <w:rsid w:val="00271C47"/>
    <w:rsid w:val="00273A62"/>
    <w:rsid w:val="00273FFB"/>
    <w:rsid w:val="00275D11"/>
    <w:rsid w:val="00277C03"/>
    <w:rsid w:val="002802BC"/>
    <w:rsid w:val="0028066C"/>
    <w:rsid w:val="002816E3"/>
    <w:rsid w:val="002833CF"/>
    <w:rsid w:val="0028763B"/>
    <w:rsid w:val="0029022C"/>
    <w:rsid w:val="0029330C"/>
    <w:rsid w:val="00294CBD"/>
    <w:rsid w:val="00294F6E"/>
    <w:rsid w:val="0029664D"/>
    <w:rsid w:val="002969AA"/>
    <w:rsid w:val="002A2B4C"/>
    <w:rsid w:val="002A58EB"/>
    <w:rsid w:val="002A5BBE"/>
    <w:rsid w:val="002A69D5"/>
    <w:rsid w:val="002A6FE6"/>
    <w:rsid w:val="002A770B"/>
    <w:rsid w:val="002B1D12"/>
    <w:rsid w:val="002B56B4"/>
    <w:rsid w:val="002C0B54"/>
    <w:rsid w:val="002C72A0"/>
    <w:rsid w:val="002C7F2B"/>
    <w:rsid w:val="002D1697"/>
    <w:rsid w:val="002D311C"/>
    <w:rsid w:val="002D4041"/>
    <w:rsid w:val="002D5A40"/>
    <w:rsid w:val="002D5E6E"/>
    <w:rsid w:val="002E0512"/>
    <w:rsid w:val="002E1597"/>
    <w:rsid w:val="002E1FB8"/>
    <w:rsid w:val="002E22F4"/>
    <w:rsid w:val="002E250E"/>
    <w:rsid w:val="002E43EB"/>
    <w:rsid w:val="002E57FA"/>
    <w:rsid w:val="002E6DFA"/>
    <w:rsid w:val="002F0644"/>
    <w:rsid w:val="002F2BC7"/>
    <w:rsid w:val="002F3221"/>
    <w:rsid w:val="002F5494"/>
    <w:rsid w:val="002F56BB"/>
    <w:rsid w:val="002F5AE8"/>
    <w:rsid w:val="002F5EEF"/>
    <w:rsid w:val="002F72DE"/>
    <w:rsid w:val="00303748"/>
    <w:rsid w:val="003077B3"/>
    <w:rsid w:val="0031256C"/>
    <w:rsid w:val="003200A2"/>
    <w:rsid w:val="003201FB"/>
    <w:rsid w:val="003205F2"/>
    <w:rsid w:val="00323599"/>
    <w:rsid w:val="00324567"/>
    <w:rsid w:val="00330CFB"/>
    <w:rsid w:val="003321C6"/>
    <w:rsid w:val="003350A7"/>
    <w:rsid w:val="0033721A"/>
    <w:rsid w:val="003375AA"/>
    <w:rsid w:val="00342EED"/>
    <w:rsid w:val="003430DD"/>
    <w:rsid w:val="003461F7"/>
    <w:rsid w:val="00351B22"/>
    <w:rsid w:val="00351B2D"/>
    <w:rsid w:val="00355CE5"/>
    <w:rsid w:val="003575AE"/>
    <w:rsid w:val="003579F9"/>
    <w:rsid w:val="00357DF7"/>
    <w:rsid w:val="00362C0C"/>
    <w:rsid w:val="0036364A"/>
    <w:rsid w:val="00363C21"/>
    <w:rsid w:val="0036721A"/>
    <w:rsid w:val="00367B90"/>
    <w:rsid w:val="003709C2"/>
    <w:rsid w:val="0037169E"/>
    <w:rsid w:val="00372549"/>
    <w:rsid w:val="00373626"/>
    <w:rsid w:val="0037659F"/>
    <w:rsid w:val="00377686"/>
    <w:rsid w:val="00380588"/>
    <w:rsid w:val="00382CF1"/>
    <w:rsid w:val="00384DE3"/>
    <w:rsid w:val="003902F6"/>
    <w:rsid w:val="00390EC2"/>
    <w:rsid w:val="00397C73"/>
    <w:rsid w:val="003A2DD5"/>
    <w:rsid w:val="003A4636"/>
    <w:rsid w:val="003A50E3"/>
    <w:rsid w:val="003A646B"/>
    <w:rsid w:val="003A6B23"/>
    <w:rsid w:val="003A6E74"/>
    <w:rsid w:val="003A7920"/>
    <w:rsid w:val="003B0670"/>
    <w:rsid w:val="003B4720"/>
    <w:rsid w:val="003B6E19"/>
    <w:rsid w:val="003C0D0F"/>
    <w:rsid w:val="003C1E9E"/>
    <w:rsid w:val="003C2ECC"/>
    <w:rsid w:val="003C2F54"/>
    <w:rsid w:val="003C37A5"/>
    <w:rsid w:val="003C3995"/>
    <w:rsid w:val="003C3D7E"/>
    <w:rsid w:val="003C472B"/>
    <w:rsid w:val="003C5C5D"/>
    <w:rsid w:val="003D0992"/>
    <w:rsid w:val="003D1F45"/>
    <w:rsid w:val="003D2281"/>
    <w:rsid w:val="003D2FF1"/>
    <w:rsid w:val="003D7974"/>
    <w:rsid w:val="003E16F3"/>
    <w:rsid w:val="003E2AFD"/>
    <w:rsid w:val="003E381A"/>
    <w:rsid w:val="003E4E06"/>
    <w:rsid w:val="003E5E95"/>
    <w:rsid w:val="003F1EBE"/>
    <w:rsid w:val="003F1F1F"/>
    <w:rsid w:val="003F26E2"/>
    <w:rsid w:val="003F2CFF"/>
    <w:rsid w:val="003F5449"/>
    <w:rsid w:val="003F5BC7"/>
    <w:rsid w:val="003F5CFF"/>
    <w:rsid w:val="00400BBD"/>
    <w:rsid w:val="0040154D"/>
    <w:rsid w:val="00402273"/>
    <w:rsid w:val="004043EE"/>
    <w:rsid w:val="00404B5A"/>
    <w:rsid w:val="00404CB0"/>
    <w:rsid w:val="0040686F"/>
    <w:rsid w:val="00406CC4"/>
    <w:rsid w:val="00406E55"/>
    <w:rsid w:val="004078BF"/>
    <w:rsid w:val="0040799A"/>
    <w:rsid w:val="00407B18"/>
    <w:rsid w:val="00410D92"/>
    <w:rsid w:val="00411C41"/>
    <w:rsid w:val="00412AAD"/>
    <w:rsid w:val="00415899"/>
    <w:rsid w:val="0041605D"/>
    <w:rsid w:val="00423286"/>
    <w:rsid w:val="00425950"/>
    <w:rsid w:val="00425B08"/>
    <w:rsid w:val="00426E08"/>
    <w:rsid w:val="004319BB"/>
    <w:rsid w:val="00432E81"/>
    <w:rsid w:val="00433F73"/>
    <w:rsid w:val="00434348"/>
    <w:rsid w:val="004357C5"/>
    <w:rsid w:val="00436C29"/>
    <w:rsid w:val="00436C2C"/>
    <w:rsid w:val="0043791D"/>
    <w:rsid w:val="00437A69"/>
    <w:rsid w:val="00437B9B"/>
    <w:rsid w:val="00440A69"/>
    <w:rsid w:val="004412AF"/>
    <w:rsid w:val="00441612"/>
    <w:rsid w:val="00441750"/>
    <w:rsid w:val="00442258"/>
    <w:rsid w:val="00442474"/>
    <w:rsid w:val="0044361E"/>
    <w:rsid w:val="004447EA"/>
    <w:rsid w:val="00445318"/>
    <w:rsid w:val="00450197"/>
    <w:rsid w:val="004504D6"/>
    <w:rsid w:val="0045181E"/>
    <w:rsid w:val="00452D5E"/>
    <w:rsid w:val="0045421B"/>
    <w:rsid w:val="0045590E"/>
    <w:rsid w:val="00456326"/>
    <w:rsid w:val="0046041D"/>
    <w:rsid w:val="00461A3C"/>
    <w:rsid w:val="00463496"/>
    <w:rsid w:val="00465847"/>
    <w:rsid w:val="004660D1"/>
    <w:rsid w:val="00466B30"/>
    <w:rsid w:val="00467D97"/>
    <w:rsid w:val="00473087"/>
    <w:rsid w:val="00475385"/>
    <w:rsid w:val="00476F1D"/>
    <w:rsid w:val="004778BD"/>
    <w:rsid w:val="004817F4"/>
    <w:rsid w:val="0048183A"/>
    <w:rsid w:val="00482CC3"/>
    <w:rsid w:val="00482E57"/>
    <w:rsid w:val="00482FD1"/>
    <w:rsid w:val="0048396B"/>
    <w:rsid w:val="00483F7E"/>
    <w:rsid w:val="00485174"/>
    <w:rsid w:val="00487330"/>
    <w:rsid w:val="00487CDA"/>
    <w:rsid w:val="00490DAE"/>
    <w:rsid w:val="004956D6"/>
    <w:rsid w:val="004978F0"/>
    <w:rsid w:val="004A0052"/>
    <w:rsid w:val="004A263F"/>
    <w:rsid w:val="004A27B3"/>
    <w:rsid w:val="004A2AD5"/>
    <w:rsid w:val="004A2D99"/>
    <w:rsid w:val="004B15A1"/>
    <w:rsid w:val="004B2BFB"/>
    <w:rsid w:val="004B359E"/>
    <w:rsid w:val="004B48F9"/>
    <w:rsid w:val="004B76C1"/>
    <w:rsid w:val="004C006E"/>
    <w:rsid w:val="004C0E11"/>
    <w:rsid w:val="004C1F4A"/>
    <w:rsid w:val="004C1FC5"/>
    <w:rsid w:val="004C2A6E"/>
    <w:rsid w:val="004C31B7"/>
    <w:rsid w:val="004C3716"/>
    <w:rsid w:val="004C3E2B"/>
    <w:rsid w:val="004C4826"/>
    <w:rsid w:val="004C54A3"/>
    <w:rsid w:val="004C594F"/>
    <w:rsid w:val="004D009E"/>
    <w:rsid w:val="004D0275"/>
    <w:rsid w:val="004D0FF0"/>
    <w:rsid w:val="004D390A"/>
    <w:rsid w:val="004D4F9C"/>
    <w:rsid w:val="004D69CC"/>
    <w:rsid w:val="004D749D"/>
    <w:rsid w:val="004E18C8"/>
    <w:rsid w:val="004E1B61"/>
    <w:rsid w:val="004E257E"/>
    <w:rsid w:val="004E4D31"/>
    <w:rsid w:val="004F01BF"/>
    <w:rsid w:val="004F0784"/>
    <w:rsid w:val="004F0FE0"/>
    <w:rsid w:val="004F1B2A"/>
    <w:rsid w:val="004F293A"/>
    <w:rsid w:val="004F2ECC"/>
    <w:rsid w:val="004F382C"/>
    <w:rsid w:val="004F4CDC"/>
    <w:rsid w:val="004F529D"/>
    <w:rsid w:val="004F74E9"/>
    <w:rsid w:val="0050104A"/>
    <w:rsid w:val="005016D9"/>
    <w:rsid w:val="00501D51"/>
    <w:rsid w:val="00502629"/>
    <w:rsid w:val="00502E10"/>
    <w:rsid w:val="0050316E"/>
    <w:rsid w:val="00504A7F"/>
    <w:rsid w:val="00504B31"/>
    <w:rsid w:val="0050723B"/>
    <w:rsid w:val="00507321"/>
    <w:rsid w:val="00507511"/>
    <w:rsid w:val="00510026"/>
    <w:rsid w:val="00513CBD"/>
    <w:rsid w:val="00514981"/>
    <w:rsid w:val="0051505E"/>
    <w:rsid w:val="0052422E"/>
    <w:rsid w:val="00525E4A"/>
    <w:rsid w:val="005264F2"/>
    <w:rsid w:val="0053008E"/>
    <w:rsid w:val="005303D7"/>
    <w:rsid w:val="00532A30"/>
    <w:rsid w:val="00535EB6"/>
    <w:rsid w:val="00540835"/>
    <w:rsid w:val="00541231"/>
    <w:rsid w:val="005413E2"/>
    <w:rsid w:val="0054285E"/>
    <w:rsid w:val="00543171"/>
    <w:rsid w:val="005434BF"/>
    <w:rsid w:val="005437DE"/>
    <w:rsid w:val="00543F29"/>
    <w:rsid w:val="00546C36"/>
    <w:rsid w:val="00550D83"/>
    <w:rsid w:val="00551253"/>
    <w:rsid w:val="00551B1E"/>
    <w:rsid w:val="00551F48"/>
    <w:rsid w:val="005520C8"/>
    <w:rsid w:val="00552D6A"/>
    <w:rsid w:val="00555974"/>
    <w:rsid w:val="005645D3"/>
    <w:rsid w:val="00565BF4"/>
    <w:rsid w:val="005703DC"/>
    <w:rsid w:val="00571279"/>
    <w:rsid w:val="0057144C"/>
    <w:rsid w:val="005725E9"/>
    <w:rsid w:val="00573338"/>
    <w:rsid w:val="00575C95"/>
    <w:rsid w:val="00576A9A"/>
    <w:rsid w:val="005771C4"/>
    <w:rsid w:val="0057784E"/>
    <w:rsid w:val="00580475"/>
    <w:rsid w:val="005805CA"/>
    <w:rsid w:val="00580E5A"/>
    <w:rsid w:val="00582DEB"/>
    <w:rsid w:val="00583EDA"/>
    <w:rsid w:val="0058558D"/>
    <w:rsid w:val="00585D7E"/>
    <w:rsid w:val="00587496"/>
    <w:rsid w:val="00590C99"/>
    <w:rsid w:val="00593E13"/>
    <w:rsid w:val="0059402F"/>
    <w:rsid w:val="00594839"/>
    <w:rsid w:val="00595F42"/>
    <w:rsid w:val="00597AAF"/>
    <w:rsid w:val="00597FD3"/>
    <w:rsid w:val="005A10E2"/>
    <w:rsid w:val="005A2568"/>
    <w:rsid w:val="005A30C2"/>
    <w:rsid w:val="005A57D1"/>
    <w:rsid w:val="005A5FA3"/>
    <w:rsid w:val="005A6BE2"/>
    <w:rsid w:val="005B11B6"/>
    <w:rsid w:val="005B1829"/>
    <w:rsid w:val="005B2B06"/>
    <w:rsid w:val="005B5BD8"/>
    <w:rsid w:val="005B77AF"/>
    <w:rsid w:val="005B7F43"/>
    <w:rsid w:val="005C11D3"/>
    <w:rsid w:val="005C1F9D"/>
    <w:rsid w:val="005C3C48"/>
    <w:rsid w:val="005C452D"/>
    <w:rsid w:val="005C5022"/>
    <w:rsid w:val="005C6DE0"/>
    <w:rsid w:val="005D2F52"/>
    <w:rsid w:val="005D638C"/>
    <w:rsid w:val="005E12B4"/>
    <w:rsid w:val="005E1BB2"/>
    <w:rsid w:val="005E3474"/>
    <w:rsid w:val="005E7853"/>
    <w:rsid w:val="005E785C"/>
    <w:rsid w:val="005E7B12"/>
    <w:rsid w:val="005F0C34"/>
    <w:rsid w:val="005F5162"/>
    <w:rsid w:val="005F5262"/>
    <w:rsid w:val="005F5627"/>
    <w:rsid w:val="005F60F3"/>
    <w:rsid w:val="005F64FA"/>
    <w:rsid w:val="005F65A7"/>
    <w:rsid w:val="00600038"/>
    <w:rsid w:val="0060021F"/>
    <w:rsid w:val="00600DF2"/>
    <w:rsid w:val="00601283"/>
    <w:rsid w:val="00601F54"/>
    <w:rsid w:val="00603AF4"/>
    <w:rsid w:val="00603E1E"/>
    <w:rsid w:val="0060469C"/>
    <w:rsid w:val="0060633F"/>
    <w:rsid w:val="006073DE"/>
    <w:rsid w:val="006102FF"/>
    <w:rsid w:val="00614A58"/>
    <w:rsid w:val="006151D8"/>
    <w:rsid w:val="00615AD0"/>
    <w:rsid w:val="00616B4D"/>
    <w:rsid w:val="00616EC6"/>
    <w:rsid w:val="00621C19"/>
    <w:rsid w:val="006249DC"/>
    <w:rsid w:val="00630A32"/>
    <w:rsid w:val="00630EC9"/>
    <w:rsid w:val="00633C1F"/>
    <w:rsid w:val="0063458C"/>
    <w:rsid w:val="00634CD6"/>
    <w:rsid w:val="006360BD"/>
    <w:rsid w:val="00636C1F"/>
    <w:rsid w:val="006421EC"/>
    <w:rsid w:val="006422C8"/>
    <w:rsid w:val="00643C33"/>
    <w:rsid w:val="006456C7"/>
    <w:rsid w:val="00645862"/>
    <w:rsid w:val="00645CC2"/>
    <w:rsid w:val="006472D7"/>
    <w:rsid w:val="006503F4"/>
    <w:rsid w:val="006505EF"/>
    <w:rsid w:val="00650D8D"/>
    <w:rsid w:val="0065121C"/>
    <w:rsid w:val="00651521"/>
    <w:rsid w:val="00651D1B"/>
    <w:rsid w:val="0065225A"/>
    <w:rsid w:val="00653B4A"/>
    <w:rsid w:val="00653FC4"/>
    <w:rsid w:val="006545D3"/>
    <w:rsid w:val="006558D7"/>
    <w:rsid w:val="00655CB3"/>
    <w:rsid w:val="00662637"/>
    <w:rsid w:val="00662DB3"/>
    <w:rsid w:val="00664FFC"/>
    <w:rsid w:val="006661A4"/>
    <w:rsid w:val="00672858"/>
    <w:rsid w:val="00674AE1"/>
    <w:rsid w:val="00677BF9"/>
    <w:rsid w:val="00680EEC"/>
    <w:rsid w:val="006828BA"/>
    <w:rsid w:val="00682B2E"/>
    <w:rsid w:val="00687486"/>
    <w:rsid w:val="00687F98"/>
    <w:rsid w:val="0069178A"/>
    <w:rsid w:val="006934E6"/>
    <w:rsid w:val="006934EC"/>
    <w:rsid w:val="00696EEA"/>
    <w:rsid w:val="006A02CD"/>
    <w:rsid w:val="006A0B45"/>
    <w:rsid w:val="006A17BD"/>
    <w:rsid w:val="006A26B5"/>
    <w:rsid w:val="006A2B53"/>
    <w:rsid w:val="006A379D"/>
    <w:rsid w:val="006A3DC1"/>
    <w:rsid w:val="006A4645"/>
    <w:rsid w:val="006A66D7"/>
    <w:rsid w:val="006A697A"/>
    <w:rsid w:val="006A6FAE"/>
    <w:rsid w:val="006B79EB"/>
    <w:rsid w:val="006C0466"/>
    <w:rsid w:val="006C11AD"/>
    <w:rsid w:val="006C1A1C"/>
    <w:rsid w:val="006C32BC"/>
    <w:rsid w:val="006C4663"/>
    <w:rsid w:val="006C63C6"/>
    <w:rsid w:val="006C6D02"/>
    <w:rsid w:val="006D0CB7"/>
    <w:rsid w:val="006D4872"/>
    <w:rsid w:val="006D488A"/>
    <w:rsid w:val="006D4D37"/>
    <w:rsid w:val="006D630C"/>
    <w:rsid w:val="006D6E5C"/>
    <w:rsid w:val="006E56F6"/>
    <w:rsid w:val="006E658B"/>
    <w:rsid w:val="006F1A60"/>
    <w:rsid w:val="006F245E"/>
    <w:rsid w:val="006F2DD3"/>
    <w:rsid w:val="006F3BBF"/>
    <w:rsid w:val="006F4246"/>
    <w:rsid w:val="006F4BCB"/>
    <w:rsid w:val="006F6000"/>
    <w:rsid w:val="006F7B0F"/>
    <w:rsid w:val="006F7E50"/>
    <w:rsid w:val="00700D89"/>
    <w:rsid w:val="0070140C"/>
    <w:rsid w:val="00702F9F"/>
    <w:rsid w:val="00703CCF"/>
    <w:rsid w:val="007049E2"/>
    <w:rsid w:val="00706343"/>
    <w:rsid w:val="00707CBA"/>
    <w:rsid w:val="007114CF"/>
    <w:rsid w:val="007124A2"/>
    <w:rsid w:val="00712DFC"/>
    <w:rsid w:val="00720CA0"/>
    <w:rsid w:val="00720CD8"/>
    <w:rsid w:val="007222D4"/>
    <w:rsid w:val="00722551"/>
    <w:rsid w:val="00724582"/>
    <w:rsid w:val="00726610"/>
    <w:rsid w:val="00732045"/>
    <w:rsid w:val="00732908"/>
    <w:rsid w:val="007440E6"/>
    <w:rsid w:val="007447A4"/>
    <w:rsid w:val="007449EF"/>
    <w:rsid w:val="00745B4F"/>
    <w:rsid w:val="00746B4C"/>
    <w:rsid w:val="00746F3C"/>
    <w:rsid w:val="00752254"/>
    <w:rsid w:val="00753F94"/>
    <w:rsid w:val="00754CDD"/>
    <w:rsid w:val="00757139"/>
    <w:rsid w:val="00760177"/>
    <w:rsid w:val="007613AA"/>
    <w:rsid w:val="007615A8"/>
    <w:rsid w:val="00761E7F"/>
    <w:rsid w:val="00762242"/>
    <w:rsid w:val="00763887"/>
    <w:rsid w:val="0077248A"/>
    <w:rsid w:val="00772AE3"/>
    <w:rsid w:val="007732FB"/>
    <w:rsid w:val="007749E4"/>
    <w:rsid w:val="0077586D"/>
    <w:rsid w:val="00777DB7"/>
    <w:rsid w:val="00777FBE"/>
    <w:rsid w:val="0078022A"/>
    <w:rsid w:val="007804BC"/>
    <w:rsid w:val="00780D89"/>
    <w:rsid w:val="00781E90"/>
    <w:rsid w:val="00783A4E"/>
    <w:rsid w:val="007853BA"/>
    <w:rsid w:val="007861D9"/>
    <w:rsid w:val="00790E8F"/>
    <w:rsid w:val="00796DD6"/>
    <w:rsid w:val="0079761D"/>
    <w:rsid w:val="007977A7"/>
    <w:rsid w:val="0079787F"/>
    <w:rsid w:val="00797E22"/>
    <w:rsid w:val="007A11BA"/>
    <w:rsid w:val="007A1D16"/>
    <w:rsid w:val="007A2964"/>
    <w:rsid w:val="007A4123"/>
    <w:rsid w:val="007A4D8F"/>
    <w:rsid w:val="007A5898"/>
    <w:rsid w:val="007A6316"/>
    <w:rsid w:val="007A6531"/>
    <w:rsid w:val="007B08DC"/>
    <w:rsid w:val="007B093F"/>
    <w:rsid w:val="007B19A2"/>
    <w:rsid w:val="007B23D0"/>
    <w:rsid w:val="007B2671"/>
    <w:rsid w:val="007B3BC1"/>
    <w:rsid w:val="007B44C4"/>
    <w:rsid w:val="007B5147"/>
    <w:rsid w:val="007B62BE"/>
    <w:rsid w:val="007B715F"/>
    <w:rsid w:val="007C19E7"/>
    <w:rsid w:val="007C2E83"/>
    <w:rsid w:val="007C7F0A"/>
    <w:rsid w:val="007D0459"/>
    <w:rsid w:val="007D4502"/>
    <w:rsid w:val="007D5328"/>
    <w:rsid w:val="007D5B71"/>
    <w:rsid w:val="007E0FF7"/>
    <w:rsid w:val="007E1204"/>
    <w:rsid w:val="007E5A4F"/>
    <w:rsid w:val="007E6562"/>
    <w:rsid w:val="007E721E"/>
    <w:rsid w:val="007E7604"/>
    <w:rsid w:val="007F13DC"/>
    <w:rsid w:val="007F29A5"/>
    <w:rsid w:val="007F2B89"/>
    <w:rsid w:val="007F34A0"/>
    <w:rsid w:val="007F483C"/>
    <w:rsid w:val="007F5E75"/>
    <w:rsid w:val="00802EC2"/>
    <w:rsid w:val="008036D2"/>
    <w:rsid w:val="00811015"/>
    <w:rsid w:val="00812983"/>
    <w:rsid w:val="00813DCB"/>
    <w:rsid w:val="008165AF"/>
    <w:rsid w:val="00817030"/>
    <w:rsid w:val="00820746"/>
    <w:rsid w:val="00820BA5"/>
    <w:rsid w:val="00822C3C"/>
    <w:rsid w:val="00823323"/>
    <w:rsid w:val="0082496A"/>
    <w:rsid w:val="008255EE"/>
    <w:rsid w:val="00825626"/>
    <w:rsid w:val="00827322"/>
    <w:rsid w:val="008318E4"/>
    <w:rsid w:val="00841D64"/>
    <w:rsid w:val="008421F6"/>
    <w:rsid w:val="00843FDF"/>
    <w:rsid w:val="00844980"/>
    <w:rsid w:val="0084624A"/>
    <w:rsid w:val="00850495"/>
    <w:rsid w:val="008504F9"/>
    <w:rsid w:val="00850FD5"/>
    <w:rsid w:val="008537B4"/>
    <w:rsid w:val="0085444D"/>
    <w:rsid w:val="00855109"/>
    <w:rsid w:val="0085704A"/>
    <w:rsid w:val="00860A15"/>
    <w:rsid w:val="00864E50"/>
    <w:rsid w:val="00865095"/>
    <w:rsid w:val="00865668"/>
    <w:rsid w:val="00865DE7"/>
    <w:rsid w:val="008723C6"/>
    <w:rsid w:val="00872CE0"/>
    <w:rsid w:val="00873F0B"/>
    <w:rsid w:val="00874E12"/>
    <w:rsid w:val="008805E7"/>
    <w:rsid w:val="0088387B"/>
    <w:rsid w:val="00884911"/>
    <w:rsid w:val="00885CBF"/>
    <w:rsid w:val="00887413"/>
    <w:rsid w:val="00887551"/>
    <w:rsid w:val="008916BB"/>
    <w:rsid w:val="0089250A"/>
    <w:rsid w:val="008936FD"/>
    <w:rsid w:val="0089515F"/>
    <w:rsid w:val="0089652A"/>
    <w:rsid w:val="00897069"/>
    <w:rsid w:val="00897EDF"/>
    <w:rsid w:val="008A0C7F"/>
    <w:rsid w:val="008A0CEB"/>
    <w:rsid w:val="008A1F93"/>
    <w:rsid w:val="008A38F4"/>
    <w:rsid w:val="008A3F12"/>
    <w:rsid w:val="008A4B66"/>
    <w:rsid w:val="008A4CCE"/>
    <w:rsid w:val="008A6DB1"/>
    <w:rsid w:val="008B0B97"/>
    <w:rsid w:val="008B16F8"/>
    <w:rsid w:val="008B2AD0"/>
    <w:rsid w:val="008B3A28"/>
    <w:rsid w:val="008B5AAE"/>
    <w:rsid w:val="008C1557"/>
    <w:rsid w:val="008C376A"/>
    <w:rsid w:val="008C3E92"/>
    <w:rsid w:val="008C54D0"/>
    <w:rsid w:val="008C5917"/>
    <w:rsid w:val="008C5FB0"/>
    <w:rsid w:val="008D13D0"/>
    <w:rsid w:val="008D17BA"/>
    <w:rsid w:val="008D22F3"/>
    <w:rsid w:val="008D363D"/>
    <w:rsid w:val="008D5D21"/>
    <w:rsid w:val="008D5D99"/>
    <w:rsid w:val="008D6599"/>
    <w:rsid w:val="008D71FB"/>
    <w:rsid w:val="008D7DDE"/>
    <w:rsid w:val="008E053A"/>
    <w:rsid w:val="008E0F64"/>
    <w:rsid w:val="008E156E"/>
    <w:rsid w:val="008E19F1"/>
    <w:rsid w:val="008E264E"/>
    <w:rsid w:val="008E3565"/>
    <w:rsid w:val="008E4A4A"/>
    <w:rsid w:val="008E61CD"/>
    <w:rsid w:val="008E6A0F"/>
    <w:rsid w:val="008E6D65"/>
    <w:rsid w:val="008F0CB3"/>
    <w:rsid w:val="008F1056"/>
    <w:rsid w:val="008F295F"/>
    <w:rsid w:val="008F3B91"/>
    <w:rsid w:val="008F4C41"/>
    <w:rsid w:val="008F4CE7"/>
    <w:rsid w:val="008F6B0B"/>
    <w:rsid w:val="008F7DCA"/>
    <w:rsid w:val="008F7FC7"/>
    <w:rsid w:val="00900AA5"/>
    <w:rsid w:val="00900B03"/>
    <w:rsid w:val="00900B70"/>
    <w:rsid w:val="00905B02"/>
    <w:rsid w:val="00905CCD"/>
    <w:rsid w:val="00906747"/>
    <w:rsid w:val="00906CF9"/>
    <w:rsid w:val="009109EE"/>
    <w:rsid w:val="00910D1E"/>
    <w:rsid w:val="00912B2E"/>
    <w:rsid w:val="00913939"/>
    <w:rsid w:val="00920065"/>
    <w:rsid w:val="00923C4C"/>
    <w:rsid w:val="00925BFB"/>
    <w:rsid w:val="009271DB"/>
    <w:rsid w:val="0092788E"/>
    <w:rsid w:val="00927B5A"/>
    <w:rsid w:val="00927F05"/>
    <w:rsid w:val="0093070D"/>
    <w:rsid w:val="00932299"/>
    <w:rsid w:val="00933379"/>
    <w:rsid w:val="009334B3"/>
    <w:rsid w:val="009342F1"/>
    <w:rsid w:val="00937394"/>
    <w:rsid w:val="0094102D"/>
    <w:rsid w:val="00946137"/>
    <w:rsid w:val="0094717F"/>
    <w:rsid w:val="00947D24"/>
    <w:rsid w:val="0095106A"/>
    <w:rsid w:val="00952A37"/>
    <w:rsid w:val="00952D17"/>
    <w:rsid w:val="0095360A"/>
    <w:rsid w:val="00953C59"/>
    <w:rsid w:val="00953F16"/>
    <w:rsid w:val="0095451F"/>
    <w:rsid w:val="00954ECE"/>
    <w:rsid w:val="00957FD0"/>
    <w:rsid w:val="00960F43"/>
    <w:rsid w:val="00963CEF"/>
    <w:rsid w:val="009663D0"/>
    <w:rsid w:val="00966898"/>
    <w:rsid w:val="009704E8"/>
    <w:rsid w:val="009709B5"/>
    <w:rsid w:val="00970FEA"/>
    <w:rsid w:val="009743BF"/>
    <w:rsid w:val="00974F70"/>
    <w:rsid w:val="009815D1"/>
    <w:rsid w:val="00981B2E"/>
    <w:rsid w:val="009847F2"/>
    <w:rsid w:val="009859F6"/>
    <w:rsid w:val="00985BF3"/>
    <w:rsid w:val="0098790A"/>
    <w:rsid w:val="00987A78"/>
    <w:rsid w:val="00990242"/>
    <w:rsid w:val="009931BD"/>
    <w:rsid w:val="00993E75"/>
    <w:rsid w:val="00995396"/>
    <w:rsid w:val="00995A79"/>
    <w:rsid w:val="009967E1"/>
    <w:rsid w:val="00997ED7"/>
    <w:rsid w:val="009A0130"/>
    <w:rsid w:val="009A0DD7"/>
    <w:rsid w:val="009A213A"/>
    <w:rsid w:val="009A2F0C"/>
    <w:rsid w:val="009A3644"/>
    <w:rsid w:val="009A559F"/>
    <w:rsid w:val="009A5ACA"/>
    <w:rsid w:val="009A5EC3"/>
    <w:rsid w:val="009A69D1"/>
    <w:rsid w:val="009A6A00"/>
    <w:rsid w:val="009A6CF5"/>
    <w:rsid w:val="009A7C54"/>
    <w:rsid w:val="009B269E"/>
    <w:rsid w:val="009B2C07"/>
    <w:rsid w:val="009B49B1"/>
    <w:rsid w:val="009B6190"/>
    <w:rsid w:val="009B6718"/>
    <w:rsid w:val="009B687E"/>
    <w:rsid w:val="009B6D88"/>
    <w:rsid w:val="009B7144"/>
    <w:rsid w:val="009C1998"/>
    <w:rsid w:val="009C33FD"/>
    <w:rsid w:val="009C457F"/>
    <w:rsid w:val="009C5171"/>
    <w:rsid w:val="009C64C9"/>
    <w:rsid w:val="009C6566"/>
    <w:rsid w:val="009D1F0A"/>
    <w:rsid w:val="009D28E9"/>
    <w:rsid w:val="009D2C37"/>
    <w:rsid w:val="009D37E1"/>
    <w:rsid w:val="009D50B9"/>
    <w:rsid w:val="009D62E1"/>
    <w:rsid w:val="009D76FE"/>
    <w:rsid w:val="009E026F"/>
    <w:rsid w:val="009E255E"/>
    <w:rsid w:val="009E3DFD"/>
    <w:rsid w:val="009E4BB1"/>
    <w:rsid w:val="009F1CCE"/>
    <w:rsid w:val="009F2FCD"/>
    <w:rsid w:val="009F374B"/>
    <w:rsid w:val="009F41B2"/>
    <w:rsid w:val="009F7F1A"/>
    <w:rsid w:val="00A05776"/>
    <w:rsid w:val="00A07ED6"/>
    <w:rsid w:val="00A12180"/>
    <w:rsid w:val="00A12740"/>
    <w:rsid w:val="00A13457"/>
    <w:rsid w:val="00A13F13"/>
    <w:rsid w:val="00A14222"/>
    <w:rsid w:val="00A14434"/>
    <w:rsid w:val="00A1579C"/>
    <w:rsid w:val="00A17082"/>
    <w:rsid w:val="00A178E1"/>
    <w:rsid w:val="00A20D2A"/>
    <w:rsid w:val="00A216BD"/>
    <w:rsid w:val="00A27678"/>
    <w:rsid w:val="00A27CD1"/>
    <w:rsid w:val="00A33DAC"/>
    <w:rsid w:val="00A36EAF"/>
    <w:rsid w:val="00A37546"/>
    <w:rsid w:val="00A375BD"/>
    <w:rsid w:val="00A40804"/>
    <w:rsid w:val="00A414C0"/>
    <w:rsid w:val="00A43DA1"/>
    <w:rsid w:val="00A46EE9"/>
    <w:rsid w:val="00A50435"/>
    <w:rsid w:val="00A5269F"/>
    <w:rsid w:val="00A53FFC"/>
    <w:rsid w:val="00A55B1B"/>
    <w:rsid w:val="00A55B2E"/>
    <w:rsid w:val="00A626C3"/>
    <w:rsid w:val="00A63703"/>
    <w:rsid w:val="00A63C1D"/>
    <w:rsid w:val="00A63EDC"/>
    <w:rsid w:val="00A64FA1"/>
    <w:rsid w:val="00A66EF0"/>
    <w:rsid w:val="00A70CFF"/>
    <w:rsid w:val="00A74CE6"/>
    <w:rsid w:val="00A77871"/>
    <w:rsid w:val="00A81799"/>
    <w:rsid w:val="00A83D8B"/>
    <w:rsid w:val="00A85534"/>
    <w:rsid w:val="00A85AFE"/>
    <w:rsid w:val="00A8766E"/>
    <w:rsid w:val="00A87965"/>
    <w:rsid w:val="00A907AE"/>
    <w:rsid w:val="00A90F7B"/>
    <w:rsid w:val="00A91480"/>
    <w:rsid w:val="00A937D0"/>
    <w:rsid w:val="00A942C4"/>
    <w:rsid w:val="00A94949"/>
    <w:rsid w:val="00AA0346"/>
    <w:rsid w:val="00AA0C75"/>
    <w:rsid w:val="00AA3559"/>
    <w:rsid w:val="00AA391F"/>
    <w:rsid w:val="00AA3E03"/>
    <w:rsid w:val="00AA3EA9"/>
    <w:rsid w:val="00AA5374"/>
    <w:rsid w:val="00AA5D38"/>
    <w:rsid w:val="00AA5FAE"/>
    <w:rsid w:val="00AB339D"/>
    <w:rsid w:val="00AB5A21"/>
    <w:rsid w:val="00AC0BCC"/>
    <w:rsid w:val="00AC0D4B"/>
    <w:rsid w:val="00AC1BC8"/>
    <w:rsid w:val="00AC34CB"/>
    <w:rsid w:val="00AC5262"/>
    <w:rsid w:val="00AC720C"/>
    <w:rsid w:val="00AC7B65"/>
    <w:rsid w:val="00AD19EA"/>
    <w:rsid w:val="00AE6D6B"/>
    <w:rsid w:val="00AE7B0A"/>
    <w:rsid w:val="00AF0564"/>
    <w:rsid w:val="00AF1061"/>
    <w:rsid w:val="00AF1C01"/>
    <w:rsid w:val="00AF1EEE"/>
    <w:rsid w:val="00B03427"/>
    <w:rsid w:val="00B0411F"/>
    <w:rsid w:val="00B11AF2"/>
    <w:rsid w:val="00B11EEC"/>
    <w:rsid w:val="00B14D12"/>
    <w:rsid w:val="00B1506D"/>
    <w:rsid w:val="00B161EC"/>
    <w:rsid w:val="00B165B1"/>
    <w:rsid w:val="00B200D6"/>
    <w:rsid w:val="00B20154"/>
    <w:rsid w:val="00B20DE3"/>
    <w:rsid w:val="00B21069"/>
    <w:rsid w:val="00B211B5"/>
    <w:rsid w:val="00B21A69"/>
    <w:rsid w:val="00B22E32"/>
    <w:rsid w:val="00B23AC3"/>
    <w:rsid w:val="00B253CF"/>
    <w:rsid w:val="00B314C5"/>
    <w:rsid w:val="00B3216D"/>
    <w:rsid w:val="00B322A1"/>
    <w:rsid w:val="00B34CA3"/>
    <w:rsid w:val="00B36223"/>
    <w:rsid w:val="00B36C61"/>
    <w:rsid w:val="00B37D89"/>
    <w:rsid w:val="00B419F9"/>
    <w:rsid w:val="00B42DAC"/>
    <w:rsid w:val="00B43A94"/>
    <w:rsid w:val="00B44DA2"/>
    <w:rsid w:val="00B45D8D"/>
    <w:rsid w:val="00B46AE5"/>
    <w:rsid w:val="00B47211"/>
    <w:rsid w:val="00B477F3"/>
    <w:rsid w:val="00B50611"/>
    <w:rsid w:val="00B50CEC"/>
    <w:rsid w:val="00B52CA1"/>
    <w:rsid w:val="00B54C95"/>
    <w:rsid w:val="00B5699C"/>
    <w:rsid w:val="00B6330F"/>
    <w:rsid w:val="00B64107"/>
    <w:rsid w:val="00B6417A"/>
    <w:rsid w:val="00B64EE4"/>
    <w:rsid w:val="00B65F76"/>
    <w:rsid w:val="00B66256"/>
    <w:rsid w:val="00B66D8E"/>
    <w:rsid w:val="00B679AB"/>
    <w:rsid w:val="00B706C2"/>
    <w:rsid w:val="00B71C58"/>
    <w:rsid w:val="00B73C21"/>
    <w:rsid w:val="00B743FB"/>
    <w:rsid w:val="00B744BA"/>
    <w:rsid w:val="00B746E3"/>
    <w:rsid w:val="00B74E30"/>
    <w:rsid w:val="00B74E61"/>
    <w:rsid w:val="00B802CD"/>
    <w:rsid w:val="00B802FF"/>
    <w:rsid w:val="00B8160A"/>
    <w:rsid w:val="00B82C14"/>
    <w:rsid w:val="00B90508"/>
    <w:rsid w:val="00B9144B"/>
    <w:rsid w:val="00B9147A"/>
    <w:rsid w:val="00B920CA"/>
    <w:rsid w:val="00B92A0B"/>
    <w:rsid w:val="00B9347F"/>
    <w:rsid w:val="00B9352B"/>
    <w:rsid w:val="00B94DDB"/>
    <w:rsid w:val="00B964E1"/>
    <w:rsid w:val="00B975D6"/>
    <w:rsid w:val="00BA0493"/>
    <w:rsid w:val="00BA33A9"/>
    <w:rsid w:val="00BA4C26"/>
    <w:rsid w:val="00BA6BCA"/>
    <w:rsid w:val="00BB11D3"/>
    <w:rsid w:val="00BB25C8"/>
    <w:rsid w:val="00BB2DA4"/>
    <w:rsid w:val="00BB39AC"/>
    <w:rsid w:val="00BB3E3D"/>
    <w:rsid w:val="00BB612B"/>
    <w:rsid w:val="00BC1F99"/>
    <w:rsid w:val="00BC40BE"/>
    <w:rsid w:val="00BC5B23"/>
    <w:rsid w:val="00BC62D4"/>
    <w:rsid w:val="00BC7EA8"/>
    <w:rsid w:val="00BD1BF1"/>
    <w:rsid w:val="00BD1C09"/>
    <w:rsid w:val="00BD2BDD"/>
    <w:rsid w:val="00BD3919"/>
    <w:rsid w:val="00BD4663"/>
    <w:rsid w:val="00BD6D76"/>
    <w:rsid w:val="00BD6F1B"/>
    <w:rsid w:val="00BD7580"/>
    <w:rsid w:val="00BD7F3C"/>
    <w:rsid w:val="00BE02AE"/>
    <w:rsid w:val="00BE1165"/>
    <w:rsid w:val="00BE136F"/>
    <w:rsid w:val="00BE226B"/>
    <w:rsid w:val="00BE3502"/>
    <w:rsid w:val="00BE398F"/>
    <w:rsid w:val="00BE4488"/>
    <w:rsid w:val="00BE47B8"/>
    <w:rsid w:val="00BE4D3D"/>
    <w:rsid w:val="00BE6837"/>
    <w:rsid w:val="00BE6BA2"/>
    <w:rsid w:val="00BF1ECD"/>
    <w:rsid w:val="00BF35C5"/>
    <w:rsid w:val="00BF4212"/>
    <w:rsid w:val="00BF6480"/>
    <w:rsid w:val="00BF762F"/>
    <w:rsid w:val="00C00D3D"/>
    <w:rsid w:val="00C02ABC"/>
    <w:rsid w:val="00C02B62"/>
    <w:rsid w:val="00C03F93"/>
    <w:rsid w:val="00C045CD"/>
    <w:rsid w:val="00C050F9"/>
    <w:rsid w:val="00C07078"/>
    <w:rsid w:val="00C11DF3"/>
    <w:rsid w:val="00C14974"/>
    <w:rsid w:val="00C14A3E"/>
    <w:rsid w:val="00C156D9"/>
    <w:rsid w:val="00C159BC"/>
    <w:rsid w:val="00C16505"/>
    <w:rsid w:val="00C174B1"/>
    <w:rsid w:val="00C2201C"/>
    <w:rsid w:val="00C2212D"/>
    <w:rsid w:val="00C22FB5"/>
    <w:rsid w:val="00C2330E"/>
    <w:rsid w:val="00C23C59"/>
    <w:rsid w:val="00C2431D"/>
    <w:rsid w:val="00C26F63"/>
    <w:rsid w:val="00C30DAB"/>
    <w:rsid w:val="00C30FAA"/>
    <w:rsid w:val="00C33F18"/>
    <w:rsid w:val="00C3621E"/>
    <w:rsid w:val="00C41236"/>
    <w:rsid w:val="00C4791D"/>
    <w:rsid w:val="00C47FAB"/>
    <w:rsid w:val="00C52E89"/>
    <w:rsid w:val="00C53551"/>
    <w:rsid w:val="00C558E6"/>
    <w:rsid w:val="00C55E36"/>
    <w:rsid w:val="00C56A38"/>
    <w:rsid w:val="00C61E7C"/>
    <w:rsid w:val="00C6254F"/>
    <w:rsid w:val="00C62A1C"/>
    <w:rsid w:val="00C6461D"/>
    <w:rsid w:val="00C70627"/>
    <w:rsid w:val="00C71166"/>
    <w:rsid w:val="00C71788"/>
    <w:rsid w:val="00C717B6"/>
    <w:rsid w:val="00C71C18"/>
    <w:rsid w:val="00C72D77"/>
    <w:rsid w:val="00C737F2"/>
    <w:rsid w:val="00C75690"/>
    <w:rsid w:val="00C771DE"/>
    <w:rsid w:val="00C778A3"/>
    <w:rsid w:val="00C7796A"/>
    <w:rsid w:val="00C77B3F"/>
    <w:rsid w:val="00C8003D"/>
    <w:rsid w:val="00C80457"/>
    <w:rsid w:val="00C80811"/>
    <w:rsid w:val="00C815BF"/>
    <w:rsid w:val="00C818DF"/>
    <w:rsid w:val="00C81AA0"/>
    <w:rsid w:val="00C82B4F"/>
    <w:rsid w:val="00C87093"/>
    <w:rsid w:val="00C87228"/>
    <w:rsid w:val="00C904B7"/>
    <w:rsid w:val="00C90ED5"/>
    <w:rsid w:val="00C927D7"/>
    <w:rsid w:val="00C9320F"/>
    <w:rsid w:val="00C93C8E"/>
    <w:rsid w:val="00C95622"/>
    <w:rsid w:val="00C97416"/>
    <w:rsid w:val="00C97D3B"/>
    <w:rsid w:val="00CA1F12"/>
    <w:rsid w:val="00CA2F65"/>
    <w:rsid w:val="00CA35F2"/>
    <w:rsid w:val="00CA4768"/>
    <w:rsid w:val="00CA4FE8"/>
    <w:rsid w:val="00CA66A4"/>
    <w:rsid w:val="00CB0BFC"/>
    <w:rsid w:val="00CB1B17"/>
    <w:rsid w:val="00CB37C8"/>
    <w:rsid w:val="00CB5DA0"/>
    <w:rsid w:val="00CC14C4"/>
    <w:rsid w:val="00CC4E21"/>
    <w:rsid w:val="00CC5237"/>
    <w:rsid w:val="00CC53EC"/>
    <w:rsid w:val="00CC584B"/>
    <w:rsid w:val="00CC5CED"/>
    <w:rsid w:val="00CC658E"/>
    <w:rsid w:val="00CD07B0"/>
    <w:rsid w:val="00CD24C2"/>
    <w:rsid w:val="00CD2BBB"/>
    <w:rsid w:val="00CD4497"/>
    <w:rsid w:val="00CD591C"/>
    <w:rsid w:val="00CE06F7"/>
    <w:rsid w:val="00CE0A0E"/>
    <w:rsid w:val="00CE2153"/>
    <w:rsid w:val="00CE2D2F"/>
    <w:rsid w:val="00CE350D"/>
    <w:rsid w:val="00CE515A"/>
    <w:rsid w:val="00CE5BC1"/>
    <w:rsid w:val="00CE69EB"/>
    <w:rsid w:val="00CE6A29"/>
    <w:rsid w:val="00CE6D57"/>
    <w:rsid w:val="00CF0DE6"/>
    <w:rsid w:val="00CF2F42"/>
    <w:rsid w:val="00CF3D0B"/>
    <w:rsid w:val="00CF4D6C"/>
    <w:rsid w:val="00CF554E"/>
    <w:rsid w:val="00CF5DE8"/>
    <w:rsid w:val="00CF5FB7"/>
    <w:rsid w:val="00CF5FD6"/>
    <w:rsid w:val="00CF66B9"/>
    <w:rsid w:val="00D004DE"/>
    <w:rsid w:val="00D07AA4"/>
    <w:rsid w:val="00D105F3"/>
    <w:rsid w:val="00D10907"/>
    <w:rsid w:val="00D13EB9"/>
    <w:rsid w:val="00D13FB4"/>
    <w:rsid w:val="00D1721B"/>
    <w:rsid w:val="00D175DF"/>
    <w:rsid w:val="00D222FB"/>
    <w:rsid w:val="00D24528"/>
    <w:rsid w:val="00D27703"/>
    <w:rsid w:val="00D3279D"/>
    <w:rsid w:val="00D328B3"/>
    <w:rsid w:val="00D32E09"/>
    <w:rsid w:val="00D33951"/>
    <w:rsid w:val="00D36267"/>
    <w:rsid w:val="00D37566"/>
    <w:rsid w:val="00D3770C"/>
    <w:rsid w:val="00D37E42"/>
    <w:rsid w:val="00D40ED4"/>
    <w:rsid w:val="00D41761"/>
    <w:rsid w:val="00D4229B"/>
    <w:rsid w:val="00D44646"/>
    <w:rsid w:val="00D45C28"/>
    <w:rsid w:val="00D511F5"/>
    <w:rsid w:val="00D5237E"/>
    <w:rsid w:val="00D55EE0"/>
    <w:rsid w:val="00D56691"/>
    <w:rsid w:val="00D57203"/>
    <w:rsid w:val="00D57769"/>
    <w:rsid w:val="00D57BDA"/>
    <w:rsid w:val="00D600E5"/>
    <w:rsid w:val="00D629C4"/>
    <w:rsid w:val="00D630C7"/>
    <w:rsid w:val="00D64D10"/>
    <w:rsid w:val="00D65D8D"/>
    <w:rsid w:val="00D675B6"/>
    <w:rsid w:val="00D70362"/>
    <w:rsid w:val="00D70993"/>
    <w:rsid w:val="00D72A76"/>
    <w:rsid w:val="00D742E6"/>
    <w:rsid w:val="00D76CEB"/>
    <w:rsid w:val="00D77846"/>
    <w:rsid w:val="00D77930"/>
    <w:rsid w:val="00D800F2"/>
    <w:rsid w:val="00D81644"/>
    <w:rsid w:val="00D82DD8"/>
    <w:rsid w:val="00D83840"/>
    <w:rsid w:val="00D840C2"/>
    <w:rsid w:val="00D85653"/>
    <w:rsid w:val="00D92883"/>
    <w:rsid w:val="00D93E8A"/>
    <w:rsid w:val="00D95EF5"/>
    <w:rsid w:val="00D9642A"/>
    <w:rsid w:val="00D9672A"/>
    <w:rsid w:val="00D96D4D"/>
    <w:rsid w:val="00D96F40"/>
    <w:rsid w:val="00D979CD"/>
    <w:rsid w:val="00D979F3"/>
    <w:rsid w:val="00DA0438"/>
    <w:rsid w:val="00DA473D"/>
    <w:rsid w:val="00DA5311"/>
    <w:rsid w:val="00DB05D7"/>
    <w:rsid w:val="00DB1DD6"/>
    <w:rsid w:val="00DB361F"/>
    <w:rsid w:val="00DB3DF4"/>
    <w:rsid w:val="00DB4063"/>
    <w:rsid w:val="00DB45DC"/>
    <w:rsid w:val="00DB4665"/>
    <w:rsid w:val="00DB4739"/>
    <w:rsid w:val="00DB7DF8"/>
    <w:rsid w:val="00DC16CA"/>
    <w:rsid w:val="00DC25D3"/>
    <w:rsid w:val="00DC2852"/>
    <w:rsid w:val="00DC3089"/>
    <w:rsid w:val="00DC39EF"/>
    <w:rsid w:val="00DC5C6C"/>
    <w:rsid w:val="00DC663A"/>
    <w:rsid w:val="00DD071C"/>
    <w:rsid w:val="00DD16EF"/>
    <w:rsid w:val="00DD231A"/>
    <w:rsid w:val="00DD4032"/>
    <w:rsid w:val="00DD75A9"/>
    <w:rsid w:val="00DE3183"/>
    <w:rsid w:val="00DE413B"/>
    <w:rsid w:val="00DE438A"/>
    <w:rsid w:val="00DE4E0A"/>
    <w:rsid w:val="00DE4E4A"/>
    <w:rsid w:val="00DE63D8"/>
    <w:rsid w:val="00DE656D"/>
    <w:rsid w:val="00DE79F2"/>
    <w:rsid w:val="00DE7B7F"/>
    <w:rsid w:val="00DF2E6E"/>
    <w:rsid w:val="00E027AC"/>
    <w:rsid w:val="00E02BD5"/>
    <w:rsid w:val="00E0374D"/>
    <w:rsid w:val="00E03A0F"/>
    <w:rsid w:val="00E044D9"/>
    <w:rsid w:val="00E059E9"/>
    <w:rsid w:val="00E06525"/>
    <w:rsid w:val="00E07C55"/>
    <w:rsid w:val="00E07C91"/>
    <w:rsid w:val="00E1202A"/>
    <w:rsid w:val="00E12542"/>
    <w:rsid w:val="00E12796"/>
    <w:rsid w:val="00E12FDD"/>
    <w:rsid w:val="00E131BC"/>
    <w:rsid w:val="00E15AE5"/>
    <w:rsid w:val="00E225DF"/>
    <w:rsid w:val="00E236AF"/>
    <w:rsid w:val="00E262E9"/>
    <w:rsid w:val="00E26ED7"/>
    <w:rsid w:val="00E26F9F"/>
    <w:rsid w:val="00E270DA"/>
    <w:rsid w:val="00E30DC8"/>
    <w:rsid w:val="00E3325A"/>
    <w:rsid w:val="00E374DA"/>
    <w:rsid w:val="00E37A98"/>
    <w:rsid w:val="00E406EF"/>
    <w:rsid w:val="00E40B53"/>
    <w:rsid w:val="00E417D5"/>
    <w:rsid w:val="00E471C6"/>
    <w:rsid w:val="00E503F5"/>
    <w:rsid w:val="00E53D7F"/>
    <w:rsid w:val="00E55B90"/>
    <w:rsid w:val="00E56068"/>
    <w:rsid w:val="00E60B6E"/>
    <w:rsid w:val="00E61242"/>
    <w:rsid w:val="00E61C46"/>
    <w:rsid w:val="00E65E16"/>
    <w:rsid w:val="00E66C31"/>
    <w:rsid w:val="00E73204"/>
    <w:rsid w:val="00E7434F"/>
    <w:rsid w:val="00E83E26"/>
    <w:rsid w:val="00E8432B"/>
    <w:rsid w:val="00E86202"/>
    <w:rsid w:val="00E868C4"/>
    <w:rsid w:val="00E877AD"/>
    <w:rsid w:val="00E87C14"/>
    <w:rsid w:val="00E90AD1"/>
    <w:rsid w:val="00E93790"/>
    <w:rsid w:val="00EA229F"/>
    <w:rsid w:val="00EA2DF6"/>
    <w:rsid w:val="00EA455C"/>
    <w:rsid w:val="00EA5253"/>
    <w:rsid w:val="00EA6CB6"/>
    <w:rsid w:val="00EB2408"/>
    <w:rsid w:val="00EB3907"/>
    <w:rsid w:val="00EB4DE7"/>
    <w:rsid w:val="00EB54D2"/>
    <w:rsid w:val="00EB5D50"/>
    <w:rsid w:val="00EB5E41"/>
    <w:rsid w:val="00EC400C"/>
    <w:rsid w:val="00EC408F"/>
    <w:rsid w:val="00ED169E"/>
    <w:rsid w:val="00ED3A0D"/>
    <w:rsid w:val="00ED51FD"/>
    <w:rsid w:val="00ED526C"/>
    <w:rsid w:val="00ED5A25"/>
    <w:rsid w:val="00ED78F1"/>
    <w:rsid w:val="00EE0BDF"/>
    <w:rsid w:val="00EE2548"/>
    <w:rsid w:val="00EE2992"/>
    <w:rsid w:val="00EE340C"/>
    <w:rsid w:val="00EE4B26"/>
    <w:rsid w:val="00EE4C57"/>
    <w:rsid w:val="00EE50D3"/>
    <w:rsid w:val="00EE51F9"/>
    <w:rsid w:val="00EE719A"/>
    <w:rsid w:val="00EF0636"/>
    <w:rsid w:val="00EF4229"/>
    <w:rsid w:val="00EF4774"/>
    <w:rsid w:val="00EF53A0"/>
    <w:rsid w:val="00EF5455"/>
    <w:rsid w:val="00EF5E30"/>
    <w:rsid w:val="00EF5EB5"/>
    <w:rsid w:val="00EF7C2D"/>
    <w:rsid w:val="00EF7D46"/>
    <w:rsid w:val="00F028F2"/>
    <w:rsid w:val="00F02B50"/>
    <w:rsid w:val="00F05486"/>
    <w:rsid w:val="00F05586"/>
    <w:rsid w:val="00F05FD1"/>
    <w:rsid w:val="00F0631B"/>
    <w:rsid w:val="00F06FCC"/>
    <w:rsid w:val="00F10F43"/>
    <w:rsid w:val="00F11682"/>
    <w:rsid w:val="00F11F7F"/>
    <w:rsid w:val="00F132F1"/>
    <w:rsid w:val="00F21256"/>
    <w:rsid w:val="00F25B0F"/>
    <w:rsid w:val="00F30E8B"/>
    <w:rsid w:val="00F354E0"/>
    <w:rsid w:val="00F366B0"/>
    <w:rsid w:val="00F4077A"/>
    <w:rsid w:val="00F44259"/>
    <w:rsid w:val="00F5045C"/>
    <w:rsid w:val="00F50AF8"/>
    <w:rsid w:val="00F54803"/>
    <w:rsid w:val="00F558B3"/>
    <w:rsid w:val="00F55C67"/>
    <w:rsid w:val="00F562D0"/>
    <w:rsid w:val="00F56D0E"/>
    <w:rsid w:val="00F60967"/>
    <w:rsid w:val="00F61A1F"/>
    <w:rsid w:val="00F62086"/>
    <w:rsid w:val="00F62BA8"/>
    <w:rsid w:val="00F62D11"/>
    <w:rsid w:val="00F70311"/>
    <w:rsid w:val="00F71922"/>
    <w:rsid w:val="00F747BA"/>
    <w:rsid w:val="00F7550A"/>
    <w:rsid w:val="00F76257"/>
    <w:rsid w:val="00F7735B"/>
    <w:rsid w:val="00F776D3"/>
    <w:rsid w:val="00F8070D"/>
    <w:rsid w:val="00F80D89"/>
    <w:rsid w:val="00F830A4"/>
    <w:rsid w:val="00F84720"/>
    <w:rsid w:val="00F84E46"/>
    <w:rsid w:val="00F84FC2"/>
    <w:rsid w:val="00F85433"/>
    <w:rsid w:val="00F8599C"/>
    <w:rsid w:val="00F92DF0"/>
    <w:rsid w:val="00F94620"/>
    <w:rsid w:val="00F948B0"/>
    <w:rsid w:val="00F948F5"/>
    <w:rsid w:val="00F94A8B"/>
    <w:rsid w:val="00F95DD7"/>
    <w:rsid w:val="00F96AD6"/>
    <w:rsid w:val="00FA0768"/>
    <w:rsid w:val="00FA2AF6"/>
    <w:rsid w:val="00FA36D4"/>
    <w:rsid w:val="00FA3774"/>
    <w:rsid w:val="00FA3D8A"/>
    <w:rsid w:val="00FA422E"/>
    <w:rsid w:val="00FA65AC"/>
    <w:rsid w:val="00FA72B1"/>
    <w:rsid w:val="00FB0C07"/>
    <w:rsid w:val="00FB7965"/>
    <w:rsid w:val="00FB7E94"/>
    <w:rsid w:val="00FB7FFA"/>
    <w:rsid w:val="00FC059C"/>
    <w:rsid w:val="00FC0D5F"/>
    <w:rsid w:val="00FC10F7"/>
    <w:rsid w:val="00FC1796"/>
    <w:rsid w:val="00FC2762"/>
    <w:rsid w:val="00FC333D"/>
    <w:rsid w:val="00FC490F"/>
    <w:rsid w:val="00FC559D"/>
    <w:rsid w:val="00FC6047"/>
    <w:rsid w:val="00FC6A7B"/>
    <w:rsid w:val="00FC6EB4"/>
    <w:rsid w:val="00FC7346"/>
    <w:rsid w:val="00FC7776"/>
    <w:rsid w:val="00FC7BEE"/>
    <w:rsid w:val="00FD1793"/>
    <w:rsid w:val="00FD1ACF"/>
    <w:rsid w:val="00FD29A9"/>
    <w:rsid w:val="00FD4E7C"/>
    <w:rsid w:val="00FD4EEB"/>
    <w:rsid w:val="00FD69A2"/>
    <w:rsid w:val="00FE4E29"/>
    <w:rsid w:val="00FE6219"/>
    <w:rsid w:val="00FE66B0"/>
    <w:rsid w:val="00FF0100"/>
    <w:rsid w:val="00FF017B"/>
    <w:rsid w:val="00FF2D68"/>
    <w:rsid w:val="00FF327A"/>
    <w:rsid w:val="00FF578C"/>
    <w:rsid w:val="00FF6168"/>
    <w:rsid w:val="00FF6884"/>
    <w:rsid w:val="00FF691D"/>
    <w:rsid w:val="00FF7B47"/>
    <w:rsid w:val="010339BE"/>
    <w:rsid w:val="01A11DA2"/>
    <w:rsid w:val="01E274B5"/>
    <w:rsid w:val="01FB5C4F"/>
    <w:rsid w:val="0200793B"/>
    <w:rsid w:val="021B6523"/>
    <w:rsid w:val="02CA603F"/>
    <w:rsid w:val="0305345B"/>
    <w:rsid w:val="03ED69EB"/>
    <w:rsid w:val="04B213C1"/>
    <w:rsid w:val="05853FA8"/>
    <w:rsid w:val="05C173E2"/>
    <w:rsid w:val="05FE267D"/>
    <w:rsid w:val="0671705A"/>
    <w:rsid w:val="06DD024B"/>
    <w:rsid w:val="07035F04"/>
    <w:rsid w:val="076F3599"/>
    <w:rsid w:val="080B5AA6"/>
    <w:rsid w:val="08182C56"/>
    <w:rsid w:val="08962DA7"/>
    <w:rsid w:val="08C0030B"/>
    <w:rsid w:val="08C20821"/>
    <w:rsid w:val="098708AE"/>
    <w:rsid w:val="09FE75F3"/>
    <w:rsid w:val="0A0F2E11"/>
    <w:rsid w:val="0A116B8A"/>
    <w:rsid w:val="0C412E6B"/>
    <w:rsid w:val="0C89471E"/>
    <w:rsid w:val="0CA02447"/>
    <w:rsid w:val="0CC4270B"/>
    <w:rsid w:val="0CD65E68"/>
    <w:rsid w:val="0D2C77AB"/>
    <w:rsid w:val="0DD16543"/>
    <w:rsid w:val="0E2A646C"/>
    <w:rsid w:val="0E3715C6"/>
    <w:rsid w:val="0EE54141"/>
    <w:rsid w:val="0EEC1973"/>
    <w:rsid w:val="0F76123D"/>
    <w:rsid w:val="0F7F5608"/>
    <w:rsid w:val="0FE64FBC"/>
    <w:rsid w:val="10EF74F9"/>
    <w:rsid w:val="111B3762"/>
    <w:rsid w:val="11D03666"/>
    <w:rsid w:val="12140494"/>
    <w:rsid w:val="12242B41"/>
    <w:rsid w:val="123D1F6C"/>
    <w:rsid w:val="12C56763"/>
    <w:rsid w:val="12D00761"/>
    <w:rsid w:val="13266D4B"/>
    <w:rsid w:val="13AA7707"/>
    <w:rsid w:val="13AB46E9"/>
    <w:rsid w:val="13AE53E1"/>
    <w:rsid w:val="14264FE0"/>
    <w:rsid w:val="143376FC"/>
    <w:rsid w:val="14596878"/>
    <w:rsid w:val="147212E0"/>
    <w:rsid w:val="14877AD9"/>
    <w:rsid w:val="14D25167"/>
    <w:rsid w:val="15021892"/>
    <w:rsid w:val="159E617F"/>
    <w:rsid w:val="15AF571D"/>
    <w:rsid w:val="15C2771C"/>
    <w:rsid w:val="16C16063"/>
    <w:rsid w:val="17307021"/>
    <w:rsid w:val="17913A2C"/>
    <w:rsid w:val="17BC1078"/>
    <w:rsid w:val="18502F73"/>
    <w:rsid w:val="18A230A3"/>
    <w:rsid w:val="18D74D2F"/>
    <w:rsid w:val="18DC0523"/>
    <w:rsid w:val="19810F0A"/>
    <w:rsid w:val="198310E9"/>
    <w:rsid w:val="199944A6"/>
    <w:rsid w:val="19AC35DA"/>
    <w:rsid w:val="19FD2C86"/>
    <w:rsid w:val="1A1043DD"/>
    <w:rsid w:val="1A4B2227"/>
    <w:rsid w:val="1A8C6E4F"/>
    <w:rsid w:val="1BE85270"/>
    <w:rsid w:val="1C33473D"/>
    <w:rsid w:val="1CEF3B65"/>
    <w:rsid w:val="1D23639E"/>
    <w:rsid w:val="1DA235F3"/>
    <w:rsid w:val="1DB7314C"/>
    <w:rsid w:val="1E2126FB"/>
    <w:rsid w:val="1E7E5C18"/>
    <w:rsid w:val="1E867913"/>
    <w:rsid w:val="1EA063D7"/>
    <w:rsid w:val="1FB4581F"/>
    <w:rsid w:val="21664758"/>
    <w:rsid w:val="217B46FD"/>
    <w:rsid w:val="21B005DE"/>
    <w:rsid w:val="21B1042C"/>
    <w:rsid w:val="21B67FCA"/>
    <w:rsid w:val="21CB71C6"/>
    <w:rsid w:val="21DE339D"/>
    <w:rsid w:val="220D5A31"/>
    <w:rsid w:val="223B259E"/>
    <w:rsid w:val="22CB7439"/>
    <w:rsid w:val="22E963CA"/>
    <w:rsid w:val="23160915"/>
    <w:rsid w:val="234823A9"/>
    <w:rsid w:val="234E207A"/>
    <w:rsid w:val="23C44815"/>
    <w:rsid w:val="23E7405F"/>
    <w:rsid w:val="257F0EB2"/>
    <w:rsid w:val="258E03AA"/>
    <w:rsid w:val="264E3098"/>
    <w:rsid w:val="267C4F33"/>
    <w:rsid w:val="26D1527F"/>
    <w:rsid w:val="26F807B5"/>
    <w:rsid w:val="277129C2"/>
    <w:rsid w:val="27FC632B"/>
    <w:rsid w:val="2819511A"/>
    <w:rsid w:val="285C326E"/>
    <w:rsid w:val="287771D8"/>
    <w:rsid w:val="28AF7842"/>
    <w:rsid w:val="28B9421C"/>
    <w:rsid w:val="28C37401"/>
    <w:rsid w:val="28D9041B"/>
    <w:rsid w:val="29CA2459"/>
    <w:rsid w:val="29D319BC"/>
    <w:rsid w:val="29E03A2B"/>
    <w:rsid w:val="2A184164"/>
    <w:rsid w:val="2A3C079E"/>
    <w:rsid w:val="2B342280"/>
    <w:rsid w:val="2B840F9D"/>
    <w:rsid w:val="2C2736A5"/>
    <w:rsid w:val="2C29790B"/>
    <w:rsid w:val="2C3D6F12"/>
    <w:rsid w:val="2C571E5B"/>
    <w:rsid w:val="2CA60F5C"/>
    <w:rsid w:val="2D7828F8"/>
    <w:rsid w:val="2D9D5735"/>
    <w:rsid w:val="2E110657"/>
    <w:rsid w:val="2E7F3812"/>
    <w:rsid w:val="2EA11B8C"/>
    <w:rsid w:val="2F1228D8"/>
    <w:rsid w:val="2F68699C"/>
    <w:rsid w:val="2FC44EB0"/>
    <w:rsid w:val="2FCC4F56"/>
    <w:rsid w:val="301866C8"/>
    <w:rsid w:val="301B57BD"/>
    <w:rsid w:val="30E37735"/>
    <w:rsid w:val="30E526C9"/>
    <w:rsid w:val="310B3A83"/>
    <w:rsid w:val="3146167F"/>
    <w:rsid w:val="31567597"/>
    <w:rsid w:val="316A4C98"/>
    <w:rsid w:val="31A11CF2"/>
    <w:rsid w:val="31A748FD"/>
    <w:rsid w:val="32196AB7"/>
    <w:rsid w:val="322748ED"/>
    <w:rsid w:val="32963820"/>
    <w:rsid w:val="334E7C57"/>
    <w:rsid w:val="335015FA"/>
    <w:rsid w:val="3361798A"/>
    <w:rsid w:val="33D40F54"/>
    <w:rsid w:val="33F23504"/>
    <w:rsid w:val="34107F52"/>
    <w:rsid w:val="34264730"/>
    <w:rsid w:val="346C2A8B"/>
    <w:rsid w:val="348401CF"/>
    <w:rsid w:val="35B2271F"/>
    <w:rsid w:val="35D67FE0"/>
    <w:rsid w:val="362353CB"/>
    <w:rsid w:val="36C42686"/>
    <w:rsid w:val="373341E1"/>
    <w:rsid w:val="373A0C1E"/>
    <w:rsid w:val="378123A9"/>
    <w:rsid w:val="37D345A7"/>
    <w:rsid w:val="37E73632"/>
    <w:rsid w:val="380354B4"/>
    <w:rsid w:val="38392C84"/>
    <w:rsid w:val="38BB7B3D"/>
    <w:rsid w:val="390122DA"/>
    <w:rsid w:val="395924BA"/>
    <w:rsid w:val="399A3BF6"/>
    <w:rsid w:val="39BD1693"/>
    <w:rsid w:val="39BD6FC6"/>
    <w:rsid w:val="39FF3A59"/>
    <w:rsid w:val="3A125E82"/>
    <w:rsid w:val="3A485400"/>
    <w:rsid w:val="3AB03232"/>
    <w:rsid w:val="3AF94516"/>
    <w:rsid w:val="3B84690C"/>
    <w:rsid w:val="3BAE40C4"/>
    <w:rsid w:val="3C025A83"/>
    <w:rsid w:val="3C88401F"/>
    <w:rsid w:val="3D112A47"/>
    <w:rsid w:val="3D1837B0"/>
    <w:rsid w:val="3D2520FB"/>
    <w:rsid w:val="3E1C6729"/>
    <w:rsid w:val="3F585994"/>
    <w:rsid w:val="3F9D61EE"/>
    <w:rsid w:val="3FF43934"/>
    <w:rsid w:val="40F55BB6"/>
    <w:rsid w:val="40FA4F7A"/>
    <w:rsid w:val="41182D1A"/>
    <w:rsid w:val="417E7959"/>
    <w:rsid w:val="41904ED4"/>
    <w:rsid w:val="41CA2B9F"/>
    <w:rsid w:val="42016FFC"/>
    <w:rsid w:val="42875228"/>
    <w:rsid w:val="432F27DC"/>
    <w:rsid w:val="438B3408"/>
    <w:rsid w:val="43B104BA"/>
    <w:rsid w:val="441A7E0D"/>
    <w:rsid w:val="44553DD6"/>
    <w:rsid w:val="44B46D4F"/>
    <w:rsid w:val="44C147DB"/>
    <w:rsid w:val="44E346A3"/>
    <w:rsid w:val="45246A6A"/>
    <w:rsid w:val="453325CC"/>
    <w:rsid w:val="45BB0276"/>
    <w:rsid w:val="45EA5542"/>
    <w:rsid w:val="46020B59"/>
    <w:rsid w:val="46AA2F9F"/>
    <w:rsid w:val="46D544C0"/>
    <w:rsid w:val="4707219F"/>
    <w:rsid w:val="475E5223"/>
    <w:rsid w:val="47FD3CCE"/>
    <w:rsid w:val="48D2515B"/>
    <w:rsid w:val="49391435"/>
    <w:rsid w:val="49AE2DA6"/>
    <w:rsid w:val="4A0F5BE6"/>
    <w:rsid w:val="4A6D4A0F"/>
    <w:rsid w:val="4A870CF2"/>
    <w:rsid w:val="4A9621B8"/>
    <w:rsid w:val="4AA20958"/>
    <w:rsid w:val="4AB248AF"/>
    <w:rsid w:val="4ACC7988"/>
    <w:rsid w:val="4AD93E52"/>
    <w:rsid w:val="4B1F3F5B"/>
    <w:rsid w:val="4B3D0885"/>
    <w:rsid w:val="4B69167A"/>
    <w:rsid w:val="4C7D362F"/>
    <w:rsid w:val="4CF124C7"/>
    <w:rsid w:val="4D810EFD"/>
    <w:rsid w:val="4D947D1D"/>
    <w:rsid w:val="4E52289A"/>
    <w:rsid w:val="4E792811"/>
    <w:rsid w:val="4E854A1D"/>
    <w:rsid w:val="4F41583E"/>
    <w:rsid w:val="4F9A3F45"/>
    <w:rsid w:val="4FBD4999"/>
    <w:rsid w:val="4FE47521"/>
    <w:rsid w:val="500B49E8"/>
    <w:rsid w:val="500C2060"/>
    <w:rsid w:val="508A631B"/>
    <w:rsid w:val="50B25872"/>
    <w:rsid w:val="50BB4726"/>
    <w:rsid w:val="50E53551"/>
    <w:rsid w:val="52BE405A"/>
    <w:rsid w:val="52C50310"/>
    <w:rsid w:val="52CB1543"/>
    <w:rsid w:val="52F42171"/>
    <w:rsid w:val="532E7431"/>
    <w:rsid w:val="535E6476"/>
    <w:rsid w:val="53A5346C"/>
    <w:rsid w:val="53B10062"/>
    <w:rsid w:val="540F569E"/>
    <w:rsid w:val="54D413B8"/>
    <w:rsid w:val="552C5BF2"/>
    <w:rsid w:val="55A41C2D"/>
    <w:rsid w:val="55C36AC2"/>
    <w:rsid w:val="55F229B9"/>
    <w:rsid w:val="55F3226C"/>
    <w:rsid w:val="55F54236"/>
    <w:rsid w:val="56326864"/>
    <w:rsid w:val="56554CD5"/>
    <w:rsid w:val="57833AC4"/>
    <w:rsid w:val="57CB6E97"/>
    <w:rsid w:val="580E062B"/>
    <w:rsid w:val="581A61D6"/>
    <w:rsid w:val="58276B45"/>
    <w:rsid w:val="58AE73FD"/>
    <w:rsid w:val="592F7A5F"/>
    <w:rsid w:val="59594ADC"/>
    <w:rsid w:val="595C637A"/>
    <w:rsid w:val="59773746"/>
    <w:rsid w:val="599E0097"/>
    <w:rsid w:val="59E216DF"/>
    <w:rsid w:val="5A0E2433"/>
    <w:rsid w:val="5AF61C8A"/>
    <w:rsid w:val="5B1F1D55"/>
    <w:rsid w:val="5C6314F5"/>
    <w:rsid w:val="5C6B5C2C"/>
    <w:rsid w:val="5CD01559"/>
    <w:rsid w:val="5D445AA3"/>
    <w:rsid w:val="5D8F5D8E"/>
    <w:rsid w:val="5DB623CB"/>
    <w:rsid w:val="5DE14EDE"/>
    <w:rsid w:val="5DE51161"/>
    <w:rsid w:val="5E8C5954"/>
    <w:rsid w:val="5EC46E9C"/>
    <w:rsid w:val="5FCF78A6"/>
    <w:rsid w:val="60100E13"/>
    <w:rsid w:val="605C71A6"/>
    <w:rsid w:val="606A1C3B"/>
    <w:rsid w:val="60932FCA"/>
    <w:rsid w:val="61020CC3"/>
    <w:rsid w:val="6118527D"/>
    <w:rsid w:val="61300838"/>
    <w:rsid w:val="619A3EE4"/>
    <w:rsid w:val="620A4E08"/>
    <w:rsid w:val="629D6B13"/>
    <w:rsid w:val="637F5749"/>
    <w:rsid w:val="639257BA"/>
    <w:rsid w:val="64B0702C"/>
    <w:rsid w:val="65556CD3"/>
    <w:rsid w:val="658713A2"/>
    <w:rsid w:val="65A17F37"/>
    <w:rsid w:val="65DE6698"/>
    <w:rsid w:val="660B715E"/>
    <w:rsid w:val="66495ED8"/>
    <w:rsid w:val="67424E02"/>
    <w:rsid w:val="674567D9"/>
    <w:rsid w:val="67A96C2F"/>
    <w:rsid w:val="67AE693B"/>
    <w:rsid w:val="67BC720D"/>
    <w:rsid w:val="6853303E"/>
    <w:rsid w:val="688F269B"/>
    <w:rsid w:val="68DD74D8"/>
    <w:rsid w:val="69270753"/>
    <w:rsid w:val="694C01BA"/>
    <w:rsid w:val="69935DE8"/>
    <w:rsid w:val="69AC0C58"/>
    <w:rsid w:val="69C52499"/>
    <w:rsid w:val="6AE45FC6"/>
    <w:rsid w:val="6B3532BF"/>
    <w:rsid w:val="6C053E44"/>
    <w:rsid w:val="6CBD35F3"/>
    <w:rsid w:val="6D172E93"/>
    <w:rsid w:val="6D396CA7"/>
    <w:rsid w:val="6D3B2A1F"/>
    <w:rsid w:val="6D617FAC"/>
    <w:rsid w:val="6D9F7D05"/>
    <w:rsid w:val="6DF36E56"/>
    <w:rsid w:val="6E4753F3"/>
    <w:rsid w:val="6EDC3D8E"/>
    <w:rsid w:val="6EF65CB3"/>
    <w:rsid w:val="6F1F3C7A"/>
    <w:rsid w:val="6F333FFC"/>
    <w:rsid w:val="6F8A1A3C"/>
    <w:rsid w:val="6FEA4288"/>
    <w:rsid w:val="72361A07"/>
    <w:rsid w:val="72B73CBB"/>
    <w:rsid w:val="72C5707A"/>
    <w:rsid w:val="72D52FCE"/>
    <w:rsid w:val="72E616B7"/>
    <w:rsid w:val="73216213"/>
    <w:rsid w:val="73C70602"/>
    <w:rsid w:val="740873D3"/>
    <w:rsid w:val="7499002B"/>
    <w:rsid w:val="74EA2B57"/>
    <w:rsid w:val="75EF3019"/>
    <w:rsid w:val="76164843"/>
    <w:rsid w:val="76A34897"/>
    <w:rsid w:val="76FE0619"/>
    <w:rsid w:val="77065E4C"/>
    <w:rsid w:val="775766A7"/>
    <w:rsid w:val="776963DA"/>
    <w:rsid w:val="77AA2BD3"/>
    <w:rsid w:val="77E65C7D"/>
    <w:rsid w:val="78571C40"/>
    <w:rsid w:val="78774B27"/>
    <w:rsid w:val="78DD498A"/>
    <w:rsid w:val="798B088A"/>
    <w:rsid w:val="79F3131B"/>
    <w:rsid w:val="7A03263B"/>
    <w:rsid w:val="7A1C5986"/>
    <w:rsid w:val="7A1E34AC"/>
    <w:rsid w:val="7A4B6733"/>
    <w:rsid w:val="7A5E1AFB"/>
    <w:rsid w:val="7A7632E8"/>
    <w:rsid w:val="7A88301C"/>
    <w:rsid w:val="7B0A1C83"/>
    <w:rsid w:val="7BB87930"/>
    <w:rsid w:val="7BFF2E69"/>
    <w:rsid w:val="7C4E2B8F"/>
    <w:rsid w:val="7C777316"/>
    <w:rsid w:val="7C8344AD"/>
    <w:rsid w:val="7CB24380"/>
    <w:rsid w:val="7CCD740C"/>
    <w:rsid w:val="7CD460A4"/>
    <w:rsid w:val="7D466F15"/>
    <w:rsid w:val="7D7C7405"/>
    <w:rsid w:val="7DD10836"/>
    <w:rsid w:val="7EA5419C"/>
    <w:rsid w:val="7EE10F4C"/>
    <w:rsid w:val="7F052F0A"/>
    <w:rsid w:val="7F370D9A"/>
    <w:rsid w:val="7F694ED9"/>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nhideWhenUsed="0" w:uiPriority="0" w:semiHidden="0" w:name="table of figures"/>
    <w:lsdException w:uiPriority="99"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28"/>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11">
    <w:name w:val="Body Text 3"/>
    <w:basedOn w:val="1"/>
    <w:qFormat/>
    <w:uiPriority w:val="0"/>
    <w:pPr>
      <w:adjustRightInd w:val="0"/>
      <w:snapToGrid w:val="0"/>
      <w:spacing w:after="120" w:line="360" w:lineRule="auto"/>
    </w:pPr>
    <w:rPr>
      <w:sz w:val="16"/>
    </w:rPr>
  </w:style>
  <w:style w:type="paragraph" w:styleId="12">
    <w:name w:val="Body Text"/>
    <w:basedOn w:val="1"/>
    <w:next w:val="13"/>
    <w:qFormat/>
    <w:uiPriority w:val="99"/>
    <w:rPr>
      <w:rFonts w:ascii="仿宋_GB2312" w:eastAsia="仿宋_GB2312"/>
      <w:sz w:val="32"/>
    </w:rPr>
  </w:style>
  <w:style w:type="paragraph" w:customStyle="1" w:styleId="1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4">
    <w:name w:val="Body Text Indent"/>
    <w:basedOn w:val="1"/>
    <w:qFormat/>
    <w:uiPriority w:val="0"/>
    <w:pPr>
      <w:widowControl w:val="0"/>
      <w:spacing w:line="700" w:lineRule="exact"/>
      <w:ind w:left="960"/>
      <w:jc w:val="both"/>
    </w:pPr>
    <w:rPr>
      <w:rFonts w:ascii="Times New Roman" w:hAnsi="Times New Roman" w:eastAsia="宋体" w:cs="Times New Roman"/>
      <w:kern w:val="2"/>
      <w:sz w:val="44"/>
      <w:lang w:val="en-US" w:eastAsia="zh-CN" w:bidi="ar-SA"/>
    </w:rPr>
  </w:style>
  <w:style w:type="paragraph" w:styleId="15">
    <w:name w:val="Date"/>
    <w:basedOn w:val="1"/>
    <w:next w:val="1"/>
    <w:qFormat/>
    <w:uiPriority w:val="0"/>
  </w:style>
  <w:style w:type="paragraph" w:styleId="16">
    <w:name w:val="Body Text Indent 2"/>
    <w:basedOn w:val="1"/>
    <w:qFormat/>
    <w:uiPriority w:val="0"/>
    <w:pPr>
      <w:snapToGrid w:val="0"/>
      <w:spacing w:line="560" w:lineRule="atLeast"/>
      <w:ind w:firstLine="540"/>
    </w:pPr>
  </w:style>
  <w:style w:type="paragraph" w:styleId="17">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8">
    <w:name w:val="Title"/>
    <w:basedOn w:val="1"/>
    <w:qFormat/>
    <w:uiPriority w:val="0"/>
    <w:pPr>
      <w:widowControl/>
      <w:spacing w:after="240" w:line="360" w:lineRule="auto"/>
      <w:jc w:val="center"/>
    </w:pPr>
    <w:rPr>
      <w:rFonts w:ascii="Arial" w:hAnsi="Arial"/>
      <w:b/>
      <w:smallCaps/>
      <w:kern w:val="28"/>
      <w:sz w:val="36"/>
      <w:lang w:eastAsia="en-US"/>
    </w:rPr>
  </w:style>
  <w:style w:type="paragraph" w:styleId="19">
    <w:name w:val="Body Text First Indent"/>
    <w:basedOn w:val="12"/>
    <w:next w:val="1"/>
    <w:qFormat/>
    <w:uiPriority w:val="0"/>
    <w:pPr>
      <w:spacing w:line="360" w:lineRule="auto"/>
      <w:ind w:firstLine="420"/>
    </w:pPr>
    <w:rPr>
      <w:rFonts w:ascii="宋体" w:hAnsi="宋体"/>
      <w:sz w:val="24"/>
    </w:rPr>
  </w:style>
  <w:style w:type="paragraph" w:styleId="20">
    <w:name w:val="Body Text First Indent 2"/>
    <w:basedOn w:val="14"/>
    <w:qFormat/>
    <w:uiPriority w:val="0"/>
    <w:pPr>
      <w:widowControl w:val="0"/>
      <w:spacing w:after="120" w:afterLines="0" w:afterAutospacing="0" w:line="240" w:lineRule="auto"/>
      <w:ind w:left="420" w:leftChars="200" w:firstLine="420" w:firstLineChars="200"/>
      <w:jc w:val="both"/>
    </w:pPr>
    <w:rPr>
      <w:rFonts w:ascii="Times New Roman" w:hAnsi="Times New Roman" w:eastAsia="宋体" w:cs="Times New Roman"/>
      <w:kern w:val="2"/>
      <w:sz w:val="21"/>
      <w:lang w:val="en-US" w:eastAsia="zh-CN" w:bidi="ar-SA"/>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paragraph" w:customStyle="1" w:styleId="25">
    <w:name w:val="采购文件正文"/>
    <w:basedOn w:val="1"/>
    <w:link w:val="32"/>
    <w:qFormat/>
    <w:uiPriority w:val="0"/>
    <w:pPr>
      <w:snapToGrid w:val="0"/>
      <w:spacing w:line="480" w:lineRule="exact"/>
      <w:ind w:firstLine="480" w:firstLineChars="200"/>
    </w:pPr>
    <w:rPr>
      <w:rFonts w:hint="eastAsia" w:ascii="方正仿宋_GBK" w:hAnsi="方正仿宋_GBK" w:eastAsia="方正仿宋_GBK" w:cs="方正仿宋_GBK"/>
      <w:sz w:val="24"/>
      <w:szCs w:val="24"/>
    </w:rPr>
  </w:style>
  <w:style w:type="paragraph" w:customStyle="1" w:styleId="26">
    <w:name w:val="采购文件标题"/>
    <w:basedOn w:val="1"/>
    <w:next w:val="1"/>
    <w:qFormat/>
    <w:uiPriority w:val="0"/>
    <w:pPr>
      <w:keepNext/>
      <w:keepLines/>
      <w:adjustRightInd w:val="0"/>
      <w:snapToGrid w:val="0"/>
      <w:spacing w:line="480" w:lineRule="exact"/>
      <w:ind w:firstLine="482" w:firstLineChars="200"/>
      <w:outlineLvl w:val="2"/>
    </w:pPr>
    <w:rPr>
      <w:rFonts w:hint="eastAsia" w:ascii="方正黑体_GBK" w:hAnsi="方正黑体_GBK" w:eastAsia="方正黑体_GBK" w:cs="方正黑体_GBK"/>
      <w:sz w:val="24"/>
      <w:szCs w:val="24"/>
    </w:rPr>
  </w:style>
  <w:style w:type="paragraph" w:customStyle="1" w:styleId="27">
    <w:name w:val="采购文件篇幅"/>
    <w:basedOn w:val="1"/>
    <w:next w:val="1"/>
    <w:link w:val="31"/>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character" w:customStyle="1" w:styleId="28">
    <w:name w:val="标题 2 字符"/>
    <w:link w:val="3"/>
    <w:qFormat/>
    <w:uiPriority w:val="0"/>
    <w:rPr>
      <w:rFonts w:ascii="宋体" w:hAnsi="宋体"/>
      <w:kern w:val="2"/>
      <w:sz w:val="28"/>
    </w:rPr>
  </w:style>
  <w:style w:type="paragraph" w:customStyle="1" w:styleId="29">
    <w:name w:val="标题2"/>
    <w:basedOn w:val="3"/>
    <w:qFormat/>
    <w:uiPriority w:val="0"/>
    <w:pPr>
      <w:keepNext w:val="0"/>
      <w:keepLines w:val="0"/>
      <w:ind w:firstLine="574" w:firstLineChars="196"/>
      <w:outlineLvl w:val="9"/>
    </w:pPr>
    <w:rPr>
      <w:b/>
      <w:spacing w:val="6"/>
      <w:u w:val="single"/>
    </w:rPr>
  </w:style>
  <w:style w:type="paragraph" w:customStyle="1" w:styleId="30">
    <w:name w:val="标题3——2"/>
    <w:basedOn w:val="4"/>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31">
    <w:name w:val="采购文件篇幅 Char"/>
    <w:link w:val="27"/>
    <w:qFormat/>
    <w:uiPriority w:val="0"/>
    <w:rPr>
      <w:rFonts w:hint="eastAsia" w:ascii="方正小标宋_GBK" w:hAnsi="方正小标宋_GBK" w:eastAsia="方正小标宋_GBK" w:cs="方正小标宋_GBK"/>
      <w:sz w:val="36"/>
      <w:szCs w:val="36"/>
    </w:rPr>
  </w:style>
  <w:style w:type="character" w:customStyle="1" w:styleId="32">
    <w:name w:val="采购文件正文 Char"/>
    <w:link w:val="25"/>
    <w:qFormat/>
    <w:uiPriority w:val="0"/>
    <w:rPr>
      <w:rFonts w:hint="eastAsia" w:ascii="方正仿宋_GBK" w:hAnsi="方正仿宋_GBK" w:eastAsia="方正仿宋_GBK" w:cs="方正仿宋_GBK"/>
      <w:sz w:val="24"/>
      <w:szCs w:val="24"/>
    </w:rPr>
  </w:style>
  <w:style w:type="paragraph" w:customStyle="1" w:styleId="33">
    <w:name w:val="篇幅"/>
    <w:basedOn w:val="1"/>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character" w:customStyle="1" w:styleId="34">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23829</Words>
  <Characters>24518</Characters>
  <Lines>97</Lines>
  <Paragraphs>27</Paragraphs>
  <TotalTime>9</TotalTime>
  <ScaleCrop>false</ScaleCrop>
  <LinksUpToDate>false</LinksUpToDate>
  <CharactersWithSpaces>24840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2020-08-14T07:54:00Z</dcterms:created>
  <dc:creator>何源</dc:creator>
  <cp:lastModifiedBy>mmmc呀</cp:lastModifiedBy>
  <cp:lastPrinted>2025-05-26T03:44:00Z</cp:lastPrinted>
  <dcterms:modified xsi:type="dcterms:W3CDTF">2026-03-09T02:00:57Z</dcterms:modified>
  <dc:title>货物</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EA1CF8461B334DBBAF98B80119009C04_13</vt:lpwstr>
  </property>
  <property fmtid="{D5CDD505-2E9C-101B-9397-08002B2CF9AE}" pid="4" name="KSOTemplateDocerSaveRecord">
    <vt:lpwstr>eyJoZGlkIjoiN2UyMWQ3MDMxODQyZDZlNTM4MjNlNzk1YTdmM2ExNmMiLCJ1c2VySWQiOiI1MjEzODk5NjcifQ==</vt:lpwstr>
  </property>
</Properties>
</file>