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E6FE2">
      <w:pPr>
        <w:spacing w:before="480" w:after="480" w:line="240" w:lineRule="auto"/>
        <w:ind w:left="0"/>
        <w:jc w:val="center"/>
        <w:rPr>
          <w:rFonts w:hint="eastAsia" w:ascii="方正仿宋_GBK" w:hAnsi="方正仿宋_GBK" w:eastAsia="方正仿宋_GBK" w:cs="方正仿宋_GBK"/>
          <w:b/>
          <w:bCs w:val="0"/>
          <w:lang w:eastAsia="zh-CN"/>
        </w:rPr>
      </w:pPr>
      <w:r>
        <w:rPr>
          <w:rFonts w:hint="eastAsia" w:ascii="方正仿宋_GBK" w:hAnsi="方正仿宋_GBK" w:eastAsia="方正仿宋_GBK" w:cs="方正仿宋_GBK"/>
          <w:b/>
          <w:bCs w:val="0"/>
          <w:sz w:val="52"/>
        </w:rPr>
        <w:t>关于</w:t>
      </w:r>
      <w:r>
        <w:rPr>
          <w:rFonts w:hint="eastAsia" w:ascii="方正仿宋_GBK" w:hAnsi="方正仿宋_GBK" w:eastAsia="方正仿宋_GBK" w:cs="方正仿宋_GBK"/>
          <w:b/>
          <w:bCs w:val="0"/>
          <w:sz w:val="52"/>
          <w:lang w:val="en-US" w:eastAsia="zh-CN"/>
        </w:rPr>
        <w:t>红十会医院</w:t>
      </w:r>
      <w:r>
        <w:rPr>
          <w:rFonts w:hint="eastAsia" w:ascii="方正仿宋_GBK" w:hAnsi="方正仿宋_GBK" w:eastAsia="方正仿宋_GBK" w:cs="方正仿宋_GBK"/>
          <w:b/>
          <w:bCs w:val="0"/>
          <w:sz w:val="52"/>
        </w:rPr>
        <w:t>互联网+护理系统建设需求</w:t>
      </w:r>
      <w:r>
        <w:rPr>
          <w:rFonts w:hint="eastAsia" w:ascii="方正仿宋_GBK" w:hAnsi="方正仿宋_GBK" w:eastAsia="方正仿宋_GBK" w:cs="方正仿宋_GBK"/>
          <w:b/>
          <w:bCs w:val="0"/>
          <w:sz w:val="52"/>
          <w:lang w:val="en-US" w:eastAsia="zh-CN"/>
        </w:rPr>
        <w:t>调查</w:t>
      </w:r>
    </w:p>
    <w:p w14:paraId="4AA2119E">
      <w:pPr>
        <w:spacing w:before="320" w:after="120" w:line="288" w:lineRule="auto"/>
        <w:ind w:left="0"/>
        <w:jc w:val="left"/>
        <w:outlineLvl w:val="1"/>
        <w:rPr>
          <w:rFonts w:hint="eastAsia" w:ascii="方正仿宋_GBK" w:hAnsi="方正仿宋_GBK" w:eastAsia="方正仿宋_GBK" w:cs="方正仿宋_GBK"/>
        </w:rPr>
      </w:pPr>
      <w:bookmarkStart w:id="0" w:name="heading_0"/>
      <w:r>
        <w:rPr>
          <w:rFonts w:hint="eastAsia" w:ascii="方正仿宋_GBK" w:hAnsi="方正仿宋_GBK" w:eastAsia="方正仿宋_GBK" w:cs="方正仿宋_GBK"/>
          <w:b/>
          <w:sz w:val="32"/>
        </w:rPr>
        <w:t>一、建设背景及需求原因</w:t>
      </w:r>
      <w:bookmarkEnd w:id="0"/>
    </w:p>
    <w:p w14:paraId="7A447D4E">
      <w:pPr>
        <w:spacing w:before="300" w:after="120" w:line="288" w:lineRule="auto"/>
        <w:ind w:left="0" w:firstLine="500" w:firstLineChars="0"/>
        <w:jc w:val="left"/>
        <w:outlineLvl w:val="2"/>
        <w:rPr>
          <w:rFonts w:hint="eastAsia" w:ascii="方正仿宋_GBK" w:hAnsi="方正仿宋_GBK" w:eastAsia="方正仿宋_GBK" w:cs="方正仿宋_GBK"/>
        </w:rPr>
      </w:pPr>
      <w:bookmarkStart w:id="1" w:name="heading_1"/>
      <w:r>
        <w:rPr>
          <w:rFonts w:hint="eastAsia" w:ascii="方正仿宋_GBK" w:hAnsi="方正仿宋_GBK" w:eastAsia="方正仿宋_GBK" w:cs="方正仿宋_GBK"/>
          <w:b/>
          <w:sz w:val="30"/>
        </w:rPr>
        <w:t>（一）政策合规要求，落实行业发展部署</w:t>
      </w:r>
      <w:bookmarkEnd w:id="1"/>
    </w:p>
    <w:p w14:paraId="4DF5A314">
      <w:pPr>
        <w:spacing w:before="120" w:after="120" w:line="288" w:lineRule="auto"/>
        <w:ind w:left="0" w:firstLine="500" w:firstLineChars="0"/>
        <w:jc w:val="left"/>
        <w:rPr>
          <w:rFonts w:hint="eastAsia" w:ascii="方正仿宋_GBK" w:hAnsi="方正仿宋_GBK" w:eastAsia="方正仿宋_GBK" w:cs="方正仿宋_GBK"/>
        </w:rPr>
      </w:pPr>
      <w:r>
        <w:rPr>
          <w:rFonts w:hint="eastAsia" w:ascii="方正仿宋_GBK" w:hAnsi="方正仿宋_GBK" w:eastAsia="方正仿宋_GBK" w:cs="方正仿宋_GBK"/>
          <w:sz w:val="22"/>
        </w:rPr>
        <w:t>为深入贯彻《国务院办公厅关于促进“互联网+医疗健康”发展的意见》《全国护理事业发展规划（2021-2025年）》以及国家卫健委《进一步改善护理服务行动计划(2023—2025年)》等系列政策文件要求，全面推进医疗机构“互联网+护理服务”规范化、常态化开展。国家卫健委明确提出，支持各级医疗机构依法合规拓展居家护理、延续护理服务，扩大互联网+护理服务覆盖面，丰富上门护理服务项目，切实解决群众居家护理难题。</w:t>
      </w:r>
    </w:p>
    <w:p w14:paraId="64A10526">
      <w:pPr>
        <w:spacing w:before="120" w:after="120" w:line="288" w:lineRule="auto"/>
        <w:ind w:left="0" w:firstLine="500" w:firstLineChars="0"/>
        <w:jc w:val="left"/>
        <w:rPr>
          <w:rFonts w:hint="eastAsia" w:ascii="方正仿宋_GBK" w:hAnsi="方正仿宋_GBK" w:eastAsia="方正仿宋_GBK" w:cs="方正仿宋_GBK"/>
        </w:rPr>
      </w:pPr>
      <w:r>
        <w:rPr>
          <w:rFonts w:hint="eastAsia" w:ascii="方正仿宋_GBK" w:hAnsi="方正仿宋_GBK" w:eastAsia="方正仿宋_GBK" w:cs="方正仿宋_GBK"/>
          <w:sz w:val="22"/>
        </w:rPr>
        <w:t>重庆市持续推进医疗卫生数字化改革，要求属地公立医院依托信息化手段优化护理服务模式、延伸护理服务链条。我院作为区域重点综合性医院，亟需搭建标准化、智能化的互联网+护理服务系统，严格落实国家、省市护理行业发展政策，合规开展线上预约、线下上门护理服务，完善护理服务监管体系，契合医疗卫生数字化转型的整体发展大势，完成行业考核硬性指标。</w:t>
      </w:r>
    </w:p>
    <w:p w14:paraId="1488E03A">
      <w:pPr>
        <w:spacing w:before="300" w:after="120" w:line="288" w:lineRule="auto"/>
        <w:ind w:left="0" w:firstLine="500" w:firstLineChars="0"/>
        <w:jc w:val="left"/>
        <w:outlineLvl w:val="2"/>
        <w:rPr>
          <w:rFonts w:hint="eastAsia" w:ascii="方正仿宋_GBK" w:hAnsi="方正仿宋_GBK" w:eastAsia="方正仿宋_GBK" w:cs="方正仿宋_GBK"/>
        </w:rPr>
      </w:pPr>
      <w:bookmarkStart w:id="2" w:name="heading_2"/>
      <w:r>
        <w:rPr>
          <w:rFonts w:hint="eastAsia" w:ascii="方正仿宋_GBK" w:hAnsi="方正仿宋_GBK" w:eastAsia="方正仿宋_GBK" w:cs="方正仿宋_GBK"/>
          <w:b/>
          <w:sz w:val="30"/>
        </w:rPr>
        <w:t>（二）适配医院发展，提升核心服务能力</w:t>
      </w:r>
      <w:bookmarkEnd w:id="2"/>
    </w:p>
    <w:p w14:paraId="4B54FBA3">
      <w:pPr>
        <w:spacing w:before="120" w:after="120" w:line="288" w:lineRule="auto"/>
        <w:ind w:left="0" w:firstLine="500" w:firstLineChars="0"/>
        <w:jc w:val="left"/>
        <w:rPr>
          <w:rFonts w:hint="eastAsia" w:ascii="方正仿宋_GBK" w:hAnsi="方正仿宋_GBK" w:eastAsia="方正仿宋_GBK" w:cs="方正仿宋_GBK"/>
        </w:rPr>
      </w:pPr>
      <w:r>
        <w:rPr>
          <w:rFonts w:hint="eastAsia" w:ascii="方正仿宋_GBK" w:hAnsi="方正仿宋_GBK" w:eastAsia="方正仿宋_GBK" w:cs="方正仿宋_GBK"/>
          <w:sz w:val="22"/>
        </w:rPr>
        <w:t>随着我院</w:t>
      </w:r>
      <w:r>
        <w:rPr>
          <w:rFonts w:hint="eastAsia" w:ascii="方正仿宋_GBK" w:hAnsi="方正仿宋_GBK" w:eastAsia="方正仿宋_GBK" w:cs="方正仿宋_GBK"/>
          <w:sz w:val="22"/>
          <w:lang w:val="en-US" w:eastAsia="zh-CN"/>
        </w:rPr>
        <w:t>建设新院区，</w:t>
      </w:r>
      <w:r>
        <w:rPr>
          <w:rFonts w:hint="eastAsia" w:ascii="方正仿宋_GBK" w:hAnsi="方正仿宋_GBK" w:eastAsia="方正仿宋_GBK" w:cs="方正仿宋_GBK"/>
          <w:sz w:val="22"/>
        </w:rPr>
        <w:t>业务规模持续扩大、服务覆盖人群不断增加，就诊患者、出院康复患者及辖区高龄、失能、行动不便特殊人群的居家护理、延续性护理需求日益激增。传统护理服务模式局限于院内诊疗护理，服务半径有限、服务链条较短，无法满足患者出院后康复护理、慢病护理、居家照护等多元化、个性化需求，同时也制约了我院护理服务品牌的延伸与升级。</w:t>
      </w:r>
    </w:p>
    <w:p w14:paraId="72AF93B4">
      <w:pPr>
        <w:spacing w:before="120" w:after="120" w:line="288" w:lineRule="auto"/>
        <w:ind w:left="0" w:firstLine="500" w:firstLineChars="0"/>
        <w:jc w:val="left"/>
        <w:rPr>
          <w:rFonts w:hint="eastAsia" w:ascii="方正仿宋_GBK" w:hAnsi="方正仿宋_GBK" w:eastAsia="方正仿宋_GBK" w:cs="方正仿宋_GBK"/>
        </w:rPr>
      </w:pPr>
      <w:r>
        <w:rPr>
          <w:rFonts w:hint="eastAsia" w:ascii="方正仿宋_GBK" w:hAnsi="方正仿宋_GBK" w:eastAsia="方正仿宋_GBK" w:cs="方正仿宋_GBK"/>
          <w:sz w:val="22"/>
        </w:rPr>
        <w:t>当前，</w:t>
      </w:r>
      <w:r>
        <w:rPr>
          <w:rFonts w:hint="eastAsia" w:ascii="方正仿宋_GBK" w:hAnsi="方正仿宋_GBK" w:eastAsia="方正仿宋_GBK" w:cs="方正仿宋_GBK"/>
          <w:sz w:val="22"/>
          <w:lang w:val="en-US" w:eastAsia="zh-CN"/>
        </w:rPr>
        <w:t>市内</w:t>
      </w:r>
      <w:r>
        <w:rPr>
          <w:rFonts w:hint="eastAsia" w:ascii="方正仿宋_GBK" w:hAnsi="方正仿宋_GBK" w:eastAsia="方正仿宋_GBK" w:cs="方正仿宋_GBK"/>
          <w:sz w:val="22"/>
        </w:rPr>
        <w:t>多家医疗机构已陆续上线互联网+护理系统，常态化开展上门护理服务，数字化护理服务已成为公立医院高质量发展的重要标配。为进一步优化我院护理服务体系，补齐延续性护理服务短板，拓宽护理服务场景，提升患者就医体验与满意度，打造精细化、智能化、便民化的特色护理服务品牌，助力医院高质量发展、提升区域医疗核心竞争力，亟需开展互联网 + 护理系统建设，实现院内护理与居家延续护理的无缝衔接。</w:t>
      </w:r>
    </w:p>
    <w:p w14:paraId="42237D08">
      <w:pPr>
        <w:spacing w:before="320" w:after="120" w:line="288" w:lineRule="auto"/>
        <w:ind w:left="0"/>
        <w:jc w:val="left"/>
        <w:outlineLvl w:val="1"/>
        <w:rPr>
          <w:rFonts w:hint="eastAsia" w:ascii="方正仿宋_GBK" w:hAnsi="方正仿宋_GBK" w:eastAsia="方正仿宋_GBK" w:cs="方正仿宋_GBK"/>
        </w:rPr>
      </w:pPr>
      <w:bookmarkStart w:id="3" w:name="heading_3"/>
      <w:r>
        <w:rPr>
          <w:rFonts w:hint="eastAsia" w:ascii="方正仿宋_GBK" w:hAnsi="方正仿宋_GBK" w:eastAsia="方正仿宋_GBK" w:cs="方正仿宋_GBK"/>
          <w:b/>
          <w:sz w:val="32"/>
        </w:rPr>
        <w:t>二、系统可解决的核心问题</w:t>
      </w:r>
      <w:bookmarkEnd w:id="3"/>
    </w:p>
    <w:p w14:paraId="1ADC6D62">
      <w:pPr>
        <w:spacing w:before="300" w:after="120" w:line="288" w:lineRule="auto"/>
        <w:ind w:left="0" w:firstLine="500" w:firstLineChars="0"/>
        <w:jc w:val="left"/>
        <w:outlineLvl w:val="2"/>
        <w:rPr>
          <w:rFonts w:hint="eastAsia" w:ascii="方正仿宋_GBK" w:hAnsi="方正仿宋_GBK" w:eastAsia="方正仿宋_GBK" w:cs="方正仿宋_GBK"/>
        </w:rPr>
      </w:pPr>
      <w:bookmarkStart w:id="4" w:name="heading_4"/>
      <w:r>
        <w:rPr>
          <w:rFonts w:hint="eastAsia" w:ascii="方正仿宋_GBK" w:hAnsi="方正仿宋_GBK" w:eastAsia="方正仿宋_GBK" w:cs="方正仿宋_GBK"/>
          <w:b/>
          <w:sz w:val="30"/>
        </w:rPr>
        <w:t>（一）解决服务场景单一、护理链条断裂问题</w:t>
      </w:r>
      <w:bookmarkEnd w:id="4"/>
    </w:p>
    <w:p w14:paraId="2520C743">
      <w:pPr>
        <w:spacing w:before="120" w:after="120" w:line="288" w:lineRule="auto"/>
        <w:ind w:left="0" w:firstLine="500" w:firstLineChars="0"/>
        <w:jc w:val="left"/>
        <w:rPr>
          <w:rFonts w:hint="eastAsia" w:ascii="方正仿宋_GBK" w:hAnsi="方正仿宋_GBK" w:eastAsia="方正仿宋_GBK" w:cs="方正仿宋_GBK"/>
        </w:rPr>
      </w:pPr>
      <w:r>
        <w:rPr>
          <w:rFonts w:hint="eastAsia" w:ascii="方正仿宋_GBK" w:hAnsi="方正仿宋_GBK" w:eastAsia="方正仿宋_GBK" w:cs="方正仿宋_GBK"/>
          <w:sz w:val="22"/>
        </w:rPr>
        <w:t>打破传统护理仅局限于院内的服务壁垒，打通患者出院后护理服务断层问题。针对术后康复、老年照护、母婴护理等人群，提供线上预约、线下上门的延续性护理服务，实现患者院前、院中、院后全周期护理闭环管理，有效解决居家患者就医不便、康复护理不专业、护理中断影响康复效果的痛点。</w:t>
      </w:r>
    </w:p>
    <w:p w14:paraId="31A4BF1F">
      <w:pPr>
        <w:spacing w:before="300" w:after="120" w:line="288" w:lineRule="auto"/>
        <w:ind w:left="0" w:firstLine="500" w:firstLineChars="0"/>
        <w:jc w:val="left"/>
        <w:outlineLvl w:val="2"/>
        <w:rPr>
          <w:rFonts w:hint="eastAsia" w:ascii="方正仿宋_GBK" w:hAnsi="方正仿宋_GBK" w:eastAsia="方正仿宋_GBK" w:cs="方正仿宋_GBK"/>
        </w:rPr>
      </w:pPr>
      <w:bookmarkStart w:id="5" w:name="heading_6"/>
      <w:r>
        <w:rPr>
          <w:rFonts w:hint="eastAsia" w:ascii="方正仿宋_GBK" w:hAnsi="方正仿宋_GBK" w:eastAsia="方正仿宋_GBK" w:cs="方正仿宋_GBK"/>
          <w:b/>
          <w:sz w:val="30"/>
        </w:rPr>
        <w:t>（</w:t>
      </w:r>
      <w:r>
        <w:rPr>
          <w:rFonts w:hint="eastAsia" w:ascii="方正仿宋_GBK" w:hAnsi="方正仿宋_GBK" w:eastAsia="方正仿宋_GBK" w:cs="方正仿宋_GBK"/>
          <w:b/>
          <w:sz w:val="30"/>
          <w:lang w:val="en-US" w:eastAsia="zh-CN"/>
        </w:rPr>
        <w:t>二</w:t>
      </w:r>
      <w:r>
        <w:rPr>
          <w:rFonts w:hint="eastAsia" w:ascii="方正仿宋_GBK" w:hAnsi="方正仿宋_GBK" w:eastAsia="方正仿宋_GBK" w:cs="方正仿宋_GBK"/>
          <w:b/>
          <w:sz w:val="30"/>
        </w:rPr>
        <w:t>）解决服务监管缺失、质量难以把控问题</w:t>
      </w:r>
      <w:bookmarkEnd w:id="5"/>
    </w:p>
    <w:p w14:paraId="38D05860">
      <w:pPr>
        <w:spacing w:before="120" w:after="120" w:line="288" w:lineRule="auto"/>
        <w:ind w:left="0" w:firstLine="500" w:firstLineChars="0"/>
        <w:jc w:val="left"/>
        <w:rPr>
          <w:rFonts w:hint="eastAsia" w:ascii="方正仿宋_GBK" w:hAnsi="方正仿宋_GBK" w:eastAsia="方正仿宋_GBK" w:cs="方正仿宋_GBK"/>
        </w:rPr>
      </w:pPr>
      <w:r>
        <w:rPr>
          <w:rFonts w:hint="eastAsia" w:ascii="方正仿宋_GBK" w:hAnsi="方正仿宋_GBK" w:eastAsia="方正仿宋_GBK" w:cs="方正仿宋_GBK"/>
          <w:sz w:val="22"/>
        </w:rPr>
        <w:t>以往上门护理服务缺乏有效的过程监管手段，服务地点、服务时长、服务内容无法实时追溯，护理服务质量、护士安全、患者权益难以保障，存在医疗安全与服务风险。系统可实现上门服务全程溯源、服务质量在线审核、风险实时预警，建立标准化服务监管体系，有效规避居家护理服务风险，保障医患双方合法权益。</w:t>
      </w:r>
    </w:p>
    <w:p w14:paraId="369E7A8A">
      <w:pPr>
        <w:spacing w:before="300" w:after="120" w:line="288" w:lineRule="auto"/>
        <w:ind w:left="0" w:firstLine="500" w:firstLineChars="0"/>
        <w:jc w:val="left"/>
        <w:outlineLvl w:val="2"/>
        <w:rPr>
          <w:rFonts w:hint="eastAsia" w:ascii="方正仿宋_GBK" w:hAnsi="方正仿宋_GBK" w:eastAsia="方正仿宋_GBK" w:cs="方正仿宋_GBK"/>
        </w:rPr>
      </w:pPr>
      <w:bookmarkStart w:id="6" w:name="heading_7"/>
      <w:r>
        <w:rPr>
          <w:rFonts w:hint="eastAsia" w:ascii="方正仿宋_GBK" w:hAnsi="方正仿宋_GBK" w:eastAsia="方正仿宋_GBK" w:cs="方正仿宋_GBK"/>
          <w:b/>
          <w:sz w:val="30"/>
        </w:rPr>
        <w:t>（</w:t>
      </w:r>
      <w:r>
        <w:rPr>
          <w:rFonts w:hint="eastAsia" w:ascii="方正仿宋_GBK" w:hAnsi="方正仿宋_GBK" w:eastAsia="方正仿宋_GBK" w:cs="方正仿宋_GBK"/>
          <w:b/>
          <w:sz w:val="30"/>
          <w:lang w:val="en-US" w:eastAsia="zh-CN"/>
        </w:rPr>
        <w:t>三</w:t>
      </w:r>
      <w:r>
        <w:rPr>
          <w:rFonts w:hint="eastAsia" w:ascii="方正仿宋_GBK" w:hAnsi="方正仿宋_GBK" w:eastAsia="方正仿宋_GBK" w:cs="方正仿宋_GBK"/>
          <w:b/>
          <w:sz w:val="30"/>
        </w:rPr>
        <w:t>）解决数据零散、统计分析困难问题</w:t>
      </w:r>
      <w:bookmarkEnd w:id="6"/>
    </w:p>
    <w:p w14:paraId="45900F46">
      <w:pPr>
        <w:spacing w:before="120" w:after="120" w:line="288" w:lineRule="auto"/>
        <w:ind w:left="0" w:firstLine="500" w:firstLineChars="0"/>
        <w:jc w:val="left"/>
        <w:rPr>
          <w:rFonts w:hint="eastAsia" w:ascii="方正仿宋_GBK" w:hAnsi="方正仿宋_GBK" w:eastAsia="方正仿宋_GBK" w:cs="方正仿宋_GBK"/>
        </w:rPr>
      </w:pPr>
      <w:r>
        <w:rPr>
          <w:rFonts w:hint="eastAsia" w:ascii="方正仿宋_GBK" w:hAnsi="方正仿宋_GBK" w:eastAsia="方正仿宋_GBK" w:cs="方正仿宋_GBK"/>
          <w:sz w:val="22"/>
        </w:rPr>
        <w:t>原有护理管理模式下，延续性护理数据分散杂乱，无法精准统计服务人次、服务类型、患者满意度、护士工作量等核心数据，难以支撑护理质量分析、绩效考核、科室管理及上级部门数据上报工作。系统可自动汇总、智能分析各类护理服务数据，生成标准化报表，为科室精细化管理、决策研判、政策落地考核提供精准数据支撑。</w:t>
      </w:r>
    </w:p>
    <w:p w14:paraId="62154A0E">
      <w:pPr>
        <w:pStyle w:val="3"/>
        <w:numPr>
          <w:ilvl w:val="0"/>
          <w:numId w:val="1"/>
        </w:numPr>
        <w:bidi w:val="0"/>
        <w:spacing w:line="240" w:lineRule="auto"/>
        <w:rPr>
          <w:rFonts w:hint="eastAsia"/>
        </w:rPr>
      </w:pPr>
      <w:bookmarkStart w:id="7" w:name="heading_9"/>
      <w:r>
        <w:rPr>
          <w:rFonts w:hint="eastAsia"/>
          <w:sz w:val="32"/>
          <w:szCs w:val="32"/>
        </w:rPr>
        <w:t>系统核心功能需求</w:t>
      </w:r>
      <w:bookmarkEnd w:id="7"/>
      <w:r>
        <w:rPr>
          <w:rFonts w:hint="eastAsia"/>
          <w:sz w:val="32"/>
          <w:szCs w:val="32"/>
          <w:lang w:val="en-US" w:eastAsia="zh-CN"/>
        </w:rPr>
        <w:t xml:space="preserve">  </w:t>
      </w:r>
    </w:p>
    <w:tbl>
      <w:tblPr>
        <w:tblStyle w:val="4"/>
        <w:tblpPr w:leftFromText="180" w:rightFromText="180" w:vertAnchor="text" w:horzAnchor="page" w:tblpXSpec="center" w:tblpY="820"/>
        <w:tblOverlap w:val="never"/>
        <w:tblW w:w="8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6"/>
        <w:gridCol w:w="1385"/>
        <w:gridCol w:w="6345"/>
      </w:tblGrid>
      <w:tr w14:paraId="3B01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Align w:val="center"/>
          </w:tcPr>
          <w:p w14:paraId="01E5160C">
            <w:pPr>
              <w:spacing w:line="240" w:lineRule="auto"/>
              <w:jc w:val="center"/>
              <w:rPr>
                <w:rFonts w:hint="eastAsia" w:ascii="方正仿宋_GBK" w:hAnsi="方正仿宋_GBK" w:eastAsia="方正仿宋_GBK" w:cs="方正仿宋_GBK"/>
                <w:b/>
                <w:bCs/>
                <w:kern w:val="2"/>
                <w:sz w:val="20"/>
                <w:szCs w:val="20"/>
                <w:lang w:val="en-US" w:eastAsia="zh-CN" w:bidi="ar-SA"/>
              </w:rPr>
            </w:pPr>
            <w:r>
              <w:rPr>
                <w:rFonts w:hint="eastAsia" w:ascii="方正仿宋_GBK" w:hAnsi="方正仿宋_GBK" w:eastAsia="方正仿宋_GBK" w:cs="方正仿宋_GBK"/>
                <w:b/>
                <w:bCs/>
                <w:kern w:val="2"/>
                <w:sz w:val="20"/>
                <w:szCs w:val="20"/>
                <w:lang w:val="en-US" w:eastAsia="zh-CN" w:bidi="ar-SA"/>
              </w:rPr>
              <w:t>功能主模块</w:t>
            </w:r>
          </w:p>
        </w:tc>
        <w:tc>
          <w:tcPr>
            <w:tcW w:w="1385" w:type="dxa"/>
            <w:vAlign w:val="center"/>
          </w:tcPr>
          <w:p w14:paraId="1608285A">
            <w:pPr>
              <w:spacing w:line="240" w:lineRule="auto"/>
              <w:jc w:val="center"/>
              <w:rPr>
                <w:rFonts w:hint="eastAsia" w:ascii="方正仿宋_GBK" w:hAnsi="方正仿宋_GBK" w:eastAsia="方正仿宋_GBK" w:cs="方正仿宋_GBK"/>
                <w:b/>
                <w:bCs/>
                <w:kern w:val="2"/>
                <w:sz w:val="20"/>
                <w:szCs w:val="20"/>
                <w:lang w:val="en-US" w:eastAsia="zh-CN" w:bidi="ar-SA"/>
              </w:rPr>
            </w:pPr>
            <w:r>
              <w:rPr>
                <w:rFonts w:hint="eastAsia" w:ascii="方正仿宋_GBK" w:hAnsi="方正仿宋_GBK" w:eastAsia="方正仿宋_GBK" w:cs="方正仿宋_GBK"/>
                <w:b/>
                <w:bCs/>
                <w:kern w:val="2"/>
                <w:sz w:val="20"/>
                <w:szCs w:val="20"/>
                <w:lang w:val="en-US" w:eastAsia="zh-CN" w:bidi="ar-SA"/>
              </w:rPr>
              <w:t>功能子模块</w:t>
            </w:r>
          </w:p>
        </w:tc>
        <w:tc>
          <w:tcPr>
            <w:tcW w:w="6345" w:type="dxa"/>
            <w:vAlign w:val="center"/>
          </w:tcPr>
          <w:p w14:paraId="6D82B3F3">
            <w:pPr>
              <w:spacing w:line="240" w:lineRule="auto"/>
              <w:jc w:val="center"/>
              <w:rPr>
                <w:rFonts w:hint="eastAsia" w:ascii="方正仿宋_GBK" w:hAnsi="方正仿宋_GBK" w:eastAsia="方正仿宋_GBK" w:cs="方正仿宋_GBK"/>
                <w:b/>
                <w:bCs/>
                <w:kern w:val="2"/>
                <w:sz w:val="20"/>
                <w:szCs w:val="20"/>
                <w:lang w:val="en-US" w:eastAsia="zh-CN" w:bidi="ar-SA"/>
              </w:rPr>
            </w:pPr>
            <w:r>
              <w:rPr>
                <w:rFonts w:hint="eastAsia" w:ascii="方正仿宋_GBK" w:hAnsi="方正仿宋_GBK" w:eastAsia="方正仿宋_GBK" w:cs="方正仿宋_GBK"/>
                <w:b/>
                <w:bCs/>
                <w:kern w:val="2"/>
                <w:sz w:val="20"/>
                <w:szCs w:val="20"/>
                <w:lang w:val="en-US" w:eastAsia="zh-CN" w:bidi="ar-SA"/>
              </w:rPr>
              <w:t>技术功能参数要求</w:t>
            </w:r>
          </w:p>
        </w:tc>
      </w:tr>
      <w:tr w14:paraId="0AE8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246" w:type="dxa"/>
            <w:vMerge w:val="restart"/>
            <w:vAlign w:val="center"/>
          </w:tcPr>
          <w:p w14:paraId="74567EAE">
            <w:p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互联网+护理服务</w:t>
            </w:r>
          </w:p>
        </w:tc>
        <w:tc>
          <w:tcPr>
            <w:tcW w:w="1385" w:type="dxa"/>
            <w:vAlign w:val="center"/>
          </w:tcPr>
          <w:p w14:paraId="0ED175F5">
            <w:pPr>
              <w:adjustRightInd w:val="0"/>
              <w:snapToGrid w:val="0"/>
              <w:spacing w:line="240" w:lineRule="auto"/>
              <w:jc w:val="center"/>
              <w:rPr>
                <w:rFonts w:hint="eastAsia" w:ascii="方正仿宋_GBK" w:hAnsi="方正仿宋_GBK" w:eastAsia="方正仿宋_GBK" w:cs="方正仿宋_GBK"/>
                <w:kern w:val="0"/>
                <w:sz w:val="20"/>
                <w:szCs w:val="20"/>
                <w:lang w:val="en-US" w:eastAsia="en-US" w:bidi="ar-SA"/>
              </w:rPr>
            </w:pPr>
            <w:r>
              <w:rPr>
                <w:rFonts w:hint="eastAsia" w:ascii="方正仿宋_GBK" w:hAnsi="方正仿宋_GBK" w:eastAsia="方正仿宋_GBK" w:cs="方正仿宋_GBK"/>
                <w:kern w:val="0"/>
                <w:sz w:val="20"/>
                <w:szCs w:val="20"/>
                <w:lang w:val="en-US" w:eastAsia="zh-CN" w:bidi="ar-SA"/>
              </w:rPr>
              <w:t>护理团队介绍</w:t>
            </w:r>
          </w:p>
        </w:tc>
        <w:tc>
          <w:tcPr>
            <w:tcW w:w="6345" w:type="dxa"/>
            <w:vAlign w:val="center"/>
          </w:tcPr>
          <w:p w14:paraId="0A0BA906">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1.支持查看每个团队护理服务人员的头像、简介、专长、历史服务数量等信息。并支持关注某个团队。</w:t>
            </w:r>
          </w:p>
          <w:p w14:paraId="444FB201">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2.系统支持实时更新护理人员的信息，包括姓名、年龄、性别、执业资格等。</w:t>
            </w:r>
          </w:p>
        </w:tc>
      </w:tr>
      <w:tr w14:paraId="0DBB9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continue"/>
            <w:vAlign w:val="center"/>
          </w:tcPr>
          <w:p w14:paraId="047F0B67">
            <w:pPr>
              <w:adjustRightInd w:val="0"/>
              <w:snapToGrid w:val="0"/>
              <w:spacing w:line="240" w:lineRule="auto"/>
              <w:ind w:firstLine="416"/>
              <w:jc w:val="center"/>
              <w:rPr>
                <w:rFonts w:hint="eastAsia" w:ascii="方正仿宋_GBK" w:hAnsi="方正仿宋_GBK" w:eastAsia="方正仿宋_GBK" w:cs="方正仿宋_GBK"/>
                <w:spacing w:val="-1"/>
                <w:kern w:val="0"/>
                <w:sz w:val="20"/>
                <w:szCs w:val="20"/>
                <w:lang w:val="en-US" w:eastAsia="zh-CN" w:bidi="ar-SA"/>
              </w:rPr>
            </w:pPr>
          </w:p>
        </w:tc>
        <w:tc>
          <w:tcPr>
            <w:tcW w:w="1385" w:type="dxa"/>
            <w:vAlign w:val="center"/>
          </w:tcPr>
          <w:p w14:paraId="37628D79">
            <w:pPr>
              <w:adjustRightInd w:val="0"/>
              <w:snapToGrid w:val="0"/>
              <w:spacing w:line="240" w:lineRule="auto"/>
              <w:jc w:val="center"/>
              <w:rPr>
                <w:rFonts w:hint="eastAsia" w:ascii="方正仿宋_GBK" w:hAnsi="方正仿宋_GBK" w:eastAsia="方正仿宋_GBK" w:cs="方正仿宋_GBK"/>
                <w:spacing w:val="-1"/>
                <w:kern w:val="0"/>
                <w:sz w:val="20"/>
                <w:szCs w:val="20"/>
                <w:lang w:val="en-US" w:eastAsia="zh-CN" w:bidi="ar-SA"/>
              </w:rPr>
            </w:pPr>
            <w:r>
              <w:rPr>
                <w:rFonts w:hint="eastAsia" w:ascii="方正仿宋_GBK" w:hAnsi="方正仿宋_GBK" w:eastAsia="方正仿宋_GBK" w:cs="方正仿宋_GBK"/>
                <w:spacing w:val="-1"/>
                <w:kern w:val="0"/>
                <w:sz w:val="20"/>
                <w:szCs w:val="20"/>
                <w:lang w:val="en-US" w:eastAsia="zh-CN" w:bidi="ar-SA"/>
              </w:rPr>
              <w:t>护理服务介绍</w:t>
            </w:r>
          </w:p>
        </w:tc>
        <w:tc>
          <w:tcPr>
            <w:tcW w:w="6345" w:type="dxa"/>
            <w:vAlign w:val="center"/>
          </w:tcPr>
          <w:p w14:paraId="4CD8CDE3">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1.支持按服务名称模糊查询、按分类查询服务列表，并支持选择某个服务查看服务详情。</w:t>
            </w:r>
          </w:p>
          <w:p w14:paraId="2F61001A">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2.支持以链接、海报的方式分享服务。</w:t>
            </w:r>
          </w:p>
          <w:p w14:paraId="1B895CDF">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3.支持医务人员通过系统对话消息提供服务咨询。</w:t>
            </w:r>
          </w:p>
        </w:tc>
      </w:tr>
      <w:tr w14:paraId="3C0B8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continue"/>
            <w:vAlign w:val="center"/>
          </w:tcPr>
          <w:p w14:paraId="45E922F2">
            <w:pPr>
              <w:adjustRightInd w:val="0"/>
              <w:snapToGrid w:val="0"/>
              <w:spacing w:line="240" w:lineRule="auto"/>
              <w:ind w:firstLine="420"/>
              <w:jc w:val="center"/>
              <w:rPr>
                <w:rFonts w:hint="eastAsia" w:ascii="方正仿宋_GBK" w:hAnsi="方正仿宋_GBK" w:eastAsia="方正仿宋_GBK" w:cs="方正仿宋_GBK"/>
                <w:kern w:val="0"/>
                <w:sz w:val="20"/>
                <w:szCs w:val="20"/>
                <w:lang w:val="en-US" w:eastAsia="zh-CN" w:bidi="ar-SA"/>
              </w:rPr>
            </w:pPr>
          </w:p>
        </w:tc>
        <w:tc>
          <w:tcPr>
            <w:tcW w:w="1385" w:type="dxa"/>
            <w:vAlign w:val="center"/>
          </w:tcPr>
          <w:p w14:paraId="4313D5AF">
            <w:pPr>
              <w:adjustRightInd w:val="0"/>
              <w:snapToGrid w:val="0"/>
              <w:spacing w:line="240" w:lineRule="auto"/>
              <w:jc w:val="center"/>
              <w:rPr>
                <w:rFonts w:hint="eastAsia" w:ascii="方正仿宋_GBK" w:hAnsi="方正仿宋_GBK" w:eastAsia="方正仿宋_GBK" w:cs="方正仿宋_GBK"/>
                <w:kern w:val="0"/>
                <w:sz w:val="20"/>
                <w:szCs w:val="20"/>
                <w:lang w:val="en-US" w:eastAsia="en-US" w:bidi="ar-SA"/>
              </w:rPr>
            </w:pPr>
            <w:r>
              <w:rPr>
                <w:rFonts w:hint="eastAsia" w:ascii="方正仿宋_GBK" w:hAnsi="方正仿宋_GBK" w:eastAsia="方正仿宋_GBK" w:cs="方正仿宋_GBK"/>
                <w:kern w:val="0"/>
                <w:sz w:val="20"/>
                <w:szCs w:val="20"/>
                <w:lang w:val="en-US" w:eastAsia="zh-CN" w:bidi="ar-SA"/>
              </w:rPr>
              <w:t>知情同意书确认</w:t>
            </w:r>
          </w:p>
        </w:tc>
        <w:tc>
          <w:tcPr>
            <w:tcW w:w="6345" w:type="dxa"/>
            <w:vAlign w:val="center"/>
          </w:tcPr>
          <w:p w14:paraId="57550156">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1.每个护理服务可设置不同的知情同意书。</w:t>
            </w:r>
          </w:p>
          <w:p w14:paraId="3F7DDC40">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2.患者购买护理服务前必须进行知情同意书确认后才能进行购买。</w:t>
            </w:r>
          </w:p>
        </w:tc>
      </w:tr>
      <w:tr w14:paraId="3080B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continue"/>
            <w:vAlign w:val="center"/>
          </w:tcPr>
          <w:p w14:paraId="1D11BFA9">
            <w:pPr>
              <w:adjustRightInd w:val="0"/>
              <w:snapToGrid w:val="0"/>
              <w:spacing w:line="240" w:lineRule="auto"/>
              <w:ind w:firstLine="420"/>
              <w:jc w:val="center"/>
              <w:rPr>
                <w:rFonts w:hint="eastAsia" w:ascii="方正仿宋_GBK" w:hAnsi="方正仿宋_GBK" w:eastAsia="方正仿宋_GBK" w:cs="方正仿宋_GBK"/>
                <w:kern w:val="0"/>
                <w:sz w:val="20"/>
                <w:szCs w:val="20"/>
                <w:lang w:val="en-US" w:eastAsia="zh-CN" w:bidi="ar-SA"/>
              </w:rPr>
            </w:pPr>
          </w:p>
        </w:tc>
        <w:tc>
          <w:tcPr>
            <w:tcW w:w="1385" w:type="dxa"/>
            <w:vAlign w:val="center"/>
          </w:tcPr>
          <w:p w14:paraId="720119C7">
            <w:pPr>
              <w:adjustRightInd w:val="0"/>
              <w:snapToGrid w:val="0"/>
              <w:spacing w:line="240" w:lineRule="auto"/>
              <w:jc w:val="center"/>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护理服务及耗材下单</w:t>
            </w:r>
          </w:p>
        </w:tc>
        <w:tc>
          <w:tcPr>
            <w:tcW w:w="6345" w:type="dxa"/>
            <w:vAlign w:val="center"/>
          </w:tcPr>
          <w:p w14:paraId="406BF256">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1.下单耗材时不需要再进行接单，但须提醒接单的人该用户的下单通知。</w:t>
            </w:r>
          </w:p>
          <w:p w14:paraId="55D2F6D4">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2.护理服务下单时须确定就诊人。</w:t>
            </w:r>
          </w:p>
          <w:p w14:paraId="3E10FFFC">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3.交通费可根据常用打车软件自动计算费用。</w:t>
            </w:r>
          </w:p>
          <w:p w14:paraId="7696FC66">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4.可每隔半小时选择预约护理服务的时间及查看最近一月的可预约情况。</w:t>
            </w:r>
          </w:p>
        </w:tc>
      </w:tr>
      <w:tr w14:paraId="4050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continue"/>
            <w:vAlign w:val="center"/>
          </w:tcPr>
          <w:p w14:paraId="20162337">
            <w:pPr>
              <w:adjustRightInd w:val="0"/>
              <w:snapToGrid w:val="0"/>
              <w:spacing w:line="240" w:lineRule="auto"/>
              <w:ind w:firstLine="420"/>
              <w:jc w:val="center"/>
              <w:rPr>
                <w:rFonts w:hint="eastAsia" w:ascii="方正仿宋_GBK" w:hAnsi="方正仿宋_GBK" w:eastAsia="方正仿宋_GBK" w:cs="方正仿宋_GBK"/>
                <w:kern w:val="0"/>
                <w:sz w:val="20"/>
                <w:szCs w:val="20"/>
                <w:lang w:val="en-US" w:eastAsia="zh-CN" w:bidi="ar-SA"/>
              </w:rPr>
            </w:pPr>
          </w:p>
        </w:tc>
        <w:tc>
          <w:tcPr>
            <w:tcW w:w="1385" w:type="dxa"/>
            <w:vAlign w:val="center"/>
          </w:tcPr>
          <w:p w14:paraId="6D6F6A2E">
            <w:pPr>
              <w:adjustRightInd w:val="0"/>
              <w:snapToGrid w:val="0"/>
              <w:spacing w:line="240" w:lineRule="auto"/>
              <w:jc w:val="center"/>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护理人员接单</w:t>
            </w:r>
          </w:p>
        </w:tc>
        <w:tc>
          <w:tcPr>
            <w:tcW w:w="6345" w:type="dxa"/>
            <w:vAlign w:val="center"/>
          </w:tcPr>
          <w:p w14:paraId="66D7EA4A">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1.须确保护理人员及时接收订单消息。</w:t>
            </w:r>
          </w:p>
          <w:p w14:paraId="490B146C">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2.订单可进行抢单或指定人接单两种模式。</w:t>
            </w:r>
          </w:p>
          <w:p w14:paraId="5A5B1458">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3.支持转发订单给他人，包括可提供服务的所有社区的护理人员。</w:t>
            </w:r>
          </w:p>
          <w:p w14:paraId="42688CA3">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4.接单时须展示患者的护理服务次数及基本信息以及所属社区。</w:t>
            </w:r>
          </w:p>
          <w:p w14:paraId="2DCE1853">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5.可分类查看可接单的护理服务。</w:t>
            </w:r>
          </w:p>
          <w:p w14:paraId="5AF17734">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6.护理人员可查看本月的接单销售额及接单量。</w:t>
            </w:r>
          </w:p>
          <w:p w14:paraId="006408E7">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7.护理人员接单后可修改上门护理时间并短信通知患者。</w:t>
            </w:r>
          </w:p>
          <w:p w14:paraId="7EEA04CD">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8.护理人员接单后可取消订单并进行退款操作。</w:t>
            </w:r>
          </w:p>
        </w:tc>
      </w:tr>
      <w:tr w14:paraId="5404A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continue"/>
            <w:vAlign w:val="center"/>
          </w:tcPr>
          <w:p w14:paraId="15A505D5">
            <w:pPr>
              <w:adjustRightInd w:val="0"/>
              <w:snapToGrid w:val="0"/>
              <w:spacing w:line="240" w:lineRule="auto"/>
              <w:ind w:firstLine="420"/>
              <w:jc w:val="center"/>
              <w:rPr>
                <w:rFonts w:hint="eastAsia" w:ascii="方正仿宋_GBK" w:hAnsi="方正仿宋_GBK" w:eastAsia="方正仿宋_GBK" w:cs="方正仿宋_GBK"/>
                <w:kern w:val="2"/>
                <w:sz w:val="20"/>
                <w:szCs w:val="20"/>
                <w:lang w:val="en-US" w:eastAsia="zh-CN" w:bidi="ar-SA"/>
              </w:rPr>
            </w:pPr>
          </w:p>
        </w:tc>
        <w:tc>
          <w:tcPr>
            <w:tcW w:w="1385" w:type="dxa"/>
            <w:vAlign w:val="center"/>
          </w:tcPr>
          <w:p w14:paraId="6B24555D">
            <w:pPr>
              <w:adjustRightInd w:val="0"/>
              <w:snapToGrid w:val="0"/>
              <w:spacing w:line="240" w:lineRule="auto"/>
              <w:jc w:val="center"/>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2"/>
                <w:sz w:val="20"/>
                <w:szCs w:val="20"/>
                <w:lang w:val="en-US" w:eastAsia="zh-CN" w:bidi="ar-SA"/>
              </w:rPr>
              <w:t>护理人员安全服务全流程记录</w:t>
            </w:r>
          </w:p>
        </w:tc>
        <w:tc>
          <w:tcPr>
            <w:tcW w:w="6345" w:type="dxa"/>
            <w:vAlign w:val="center"/>
          </w:tcPr>
          <w:p w14:paraId="04D36AAD">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1.可对每一次护理服务的行程轨迹、打车轨迹、录音进行实时记录和查看，同时提供一键紧急呼救功能。</w:t>
            </w:r>
          </w:p>
        </w:tc>
      </w:tr>
      <w:tr w14:paraId="1857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continue"/>
            <w:vAlign w:val="center"/>
          </w:tcPr>
          <w:p w14:paraId="076959CC">
            <w:pPr>
              <w:adjustRightInd w:val="0"/>
              <w:snapToGrid w:val="0"/>
              <w:spacing w:line="240" w:lineRule="auto"/>
              <w:ind w:firstLine="420"/>
              <w:jc w:val="center"/>
              <w:rPr>
                <w:rFonts w:hint="eastAsia" w:ascii="方正仿宋_GBK" w:hAnsi="方正仿宋_GBK" w:eastAsia="方正仿宋_GBK" w:cs="方正仿宋_GBK"/>
                <w:kern w:val="2"/>
                <w:sz w:val="20"/>
                <w:szCs w:val="20"/>
                <w:lang w:val="en-US" w:eastAsia="zh-CN" w:bidi="ar-SA"/>
              </w:rPr>
            </w:pPr>
            <w:bookmarkStart w:id="8" w:name="_Toc14797"/>
          </w:p>
        </w:tc>
        <w:tc>
          <w:tcPr>
            <w:tcW w:w="1385" w:type="dxa"/>
            <w:vAlign w:val="center"/>
          </w:tcPr>
          <w:p w14:paraId="0BF617A4">
            <w:pPr>
              <w:adjustRightInd w:val="0"/>
              <w:snapToGrid w:val="0"/>
              <w:spacing w:line="240" w:lineRule="auto"/>
              <w:jc w:val="center"/>
              <w:rPr>
                <w:rFonts w:hint="eastAsia" w:ascii="方正仿宋_GBK" w:hAnsi="方正仿宋_GBK" w:eastAsia="方正仿宋_GBK" w:cs="方正仿宋_GBK"/>
                <w:kern w:val="2"/>
                <w:sz w:val="20"/>
                <w:szCs w:val="20"/>
                <w:lang w:val="en-US" w:eastAsia="zh-CN" w:bidi="ar-SA"/>
              </w:rPr>
            </w:pPr>
            <w:r>
              <w:rPr>
                <w:rFonts w:hint="eastAsia" w:ascii="方正仿宋_GBK" w:hAnsi="方正仿宋_GBK" w:eastAsia="方正仿宋_GBK" w:cs="方正仿宋_GBK"/>
                <w:kern w:val="2"/>
                <w:sz w:val="20"/>
                <w:szCs w:val="20"/>
                <w:lang w:val="en-US" w:eastAsia="zh-CN" w:bidi="ar-SA"/>
              </w:rPr>
              <w:t>图文、视频科普宣传</w:t>
            </w:r>
          </w:p>
        </w:tc>
        <w:tc>
          <w:tcPr>
            <w:tcW w:w="6345" w:type="dxa"/>
            <w:vAlign w:val="center"/>
          </w:tcPr>
          <w:p w14:paraId="6CDEB50F">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1.支持自定义格式上传（包括JPG、PNG、GIF、MP4、avi等格式）、快捷上传公众号文章、视频等内容进行科普宣教。</w:t>
            </w:r>
          </w:p>
        </w:tc>
      </w:tr>
      <w:tr w14:paraId="6B1E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restart"/>
            <w:vAlign w:val="center"/>
          </w:tcPr>
          <w:p w14:paraId="716092D3">
            <w:pPr>
              <w:adjustRightInd w:val="0"/>
              <w:snapToGrid w:val="0"/>
              <w:spacing w:line="240" w:lineRule="auto"/>
              <w:rPr>
                <w:rFonts w:hint="eastAsia" w:ascii="方正仿宋_GBK" w:hAnsi="方正仿宋_GBK" w:eastAsia="方正仿宋_GBK" w:cs="方正仿宋_GBK"/>
                <w:kern w:val="2"/>
                <w:sz w:val="20"/>
                <w:szCs w:val="20"/>
                <w:lang w:val="en-US" w:eastAsia="zh-CN" w:bidi="ar-SA"/>
              </w:rPr>
            </w:pPr>
            <w:r>
              <w:rPr>
                <w:rFonts w:hint="eastAsia" w:ascii="方正仿宋_GBK" w:hAnsi="方正仿宋_GBK" w:eastAsia="方正仿宋_GBK" w:cs="方正仿宋_GBK"/>
                <w:kern w:val="2"/>
                <w:sz w:val="20"/>
                <w:szCs w:val="20"/>
                <w:lang w:val="en-US" w:eastAsia="zh-CN" w:bidi="ar-SA"/>
              </w:rPr>
              <w:t>护理咨询</w:t>
            </w:r>
          </w:p>
        </w:tc>
        <w:tc>
          <w:tcPr>
            <w:tcW w:w="1385" w:type="dxa"/>
            <w:vAlign w:val="center"/>
          </w:tcPr>
          <w:p w14:paraId="00802E50">
            <w:pPr>
              <w:adjustRightInd w:val="0"/>
              <w:snapToGrid w:val="0"/>
              <w:spacing w:line="240" w:lineRule="auto"/>
              <w:jc w:val="center"/>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2"/>
                <w:sz w:val="20"/>
                <w:szCs w:val="20"/>
                <w:lang w:val="en-US" w:eastAsia="zh-CN" w:bidi="ar-SA"/>
              </w:rPr>
              <w:t>多对一群聊咨询</w:t>
            </w:r>
          </w:p>
        </w:tc>
        <w:tc>
          <w:tcPr>
            <w:tcW w:w="6345" w:type="dxa"/>
            <w:vAlign w:val="center"/>
          </w:tcPr>
          <w:p w14:paraId="0CB8F57A">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1.根据患者所在的机构或团队不同，建立多个专业人员如医生、护士、药师等与患者组建为一个群聊提供免费咨询服务。</w:t>
            </w:r>
          </w:p>
        </w:tc>
      </w:tr>
      <w:tr w14:paraId="7BF4A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continue"/>
            <w:vAlign w:val="center"/>
          </w:tcPr>
          <w:p w14:paraId="48289B12">
            <w:pPr>
              <w:adjustRightInd w:val="0"/>
              <w:snapToGrid w:val="0"/>
              <w:spacing w:line="240" w:lineRule="auto"/>
              <w:ind w:firstLine="420"/>
              <w:jc w:val="center"/>
              <w:rPr>
                <w:rFonts w:hint="eastAsia" w:ascii="方正仿宋_GBK" w:hAnsi="方正仿宋_GBK" w:eastAsia="方正仿宋_GBK" w:cs="方正仿宋_GBK"/>
                <w:kern w:val="2"/>
                <w:sz w:val="20"/>
                <w:szCs w:val="20"/>
                <w:lang w:val="en-US" w:eastAsia="zh-CN" w:bidi="ar-SA"/>
              </w:rPr>
            </w:pPr>
          </w:p>
        </w:tc>
        <w:tc>
          <w:tcPr>
            <w:tcW w:w="1385" w:type="dxa"/>
            <w:vAlign w:val="center"/>
          </w:tcPr>
          <w:p w14:paraId="37BE2142">
            <w:pPr>
              <w:adjustRightInd w:val="0"/>
              <w:snapToGrid w:val="0"/>
              <w:spacing w:line="240" w:lineRule="auto"/>
              <w:jc w:val="center"/>
              <w:rPr>
                <w:rFonts w:hint="eastAsia" w:ascii="方正仿宋_GBK" w:hAnsi="方正仿宋_GBK" w:eastAsia="方正仿宋_GBK" w:cs="方正仿宋_GBK"/>
                <w:kern w:val="2"/>
                <w:sz w:val="20"/>
                <w:szCs w:val="20"/>
                <w:lang w:val="en-US" w:eastAsia="zh-CN" w:bidi="ar-SA"/>
              </w:rPr>
            </w:pPr>
            <w:r>
              <w:rPr>
                <w:rFonts w:hint="eastAsia" w:ascii="方正仿宋_GBK" w:hAnsi="方正仿宋_GBK" w:eastAsia="方正仿宋_GBK" w:cs="方正仿宋_GBK"/>
                <w:kern w:val="2"/>
                <w:sz w:val="20"/>
                <w:szCs w:val="20"/>
                <w:lang w:val="en-US" w:eastAsia="zh-CN" w:bidi="ar-SA"/>
              </w:rPr>
              <w:t>专业护理咨询</w:t>
            </w:r>
          </w:p>
        </w:tc>
        <w:tc>
          <w:tcPr>
            <w:tcW w:w="6345" w:type="dxa"/>
            <w:vAlign w:val="center"/>
          </w:tcPr>
          <w:p w14:paraId="76A7213D">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1.可设置护理人员进行护理咨询。</w:t>
            </w:r>
          </w:p>
          <w:p w14:paraId="68657712">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2.可设置咨询助理进行提醒和协调。</w:t>
            </w:r>
          </w:p>
        </w:tc>
      </w:tr>
      <w:tr w14:paraId="5371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Align w:val="center"/>
          </w:tcPr>
          <w:p w14:paraId="60D76C1D">
            <w:pPr>
              <w:adjustRightInd w:val="0"/>
              <w:snapToGrid w:val="0"/>
              <w:spacing w:line="240" w:lineRule="auto"/>
              <w:rPr>
                <w:rFonts w:hint="eastAsia" w:ascii="方正仿宋_GBK" w:hAnsi="方正仿宋_GBK" w:eastAsia="方正仿宋_GBK" w:cs="方正仿宋_GBK"/>
                <w:kern w:val="2"/>
                <w:sz w:val="20"/>
                <w:szCs w:val="20"/>
                <w:lang w:val="en-US" w:eastAsia="zh-CN" w:bidi="ar-SA"/>
              </w:rPr>
            </w:pPr>
            <w:r>
              <w:rPr>
                <w:rFonts w:hint="eastAsia" w:ascii="方正仿宋_GBK" w:hAnsi="方正仿宋_GBK" w:eastAsia="方正仿宋_GBK" w:cs="方正仿宋_GBK"/>
                <w:kern w:val="2"/>
                <w:sz w:val="20"/>
                <w:szCs w:val="20"/>
                <w:lang w:val="en-US" w:eastAsia="zh-CN" w:bidi="ar-SA"/>
              </w:rPr>
              <w:t>互联网+护理服务质控系统</w:t>
            </w:r>
          </w:p>
        </w:tc>
        <w:tc>
          <w:tcPr>
            <w:tcW w:w="1385" w:type="dxa"/>
            <w:vAlign w:val="center"/>
          </w:tcPr>
          <w:p w14:paraId="07F3B126">
            <w:pPr>
              <w:adjustRightInd w:val="0"/>
              <w:snapToGrid w:val="0"/>
              <w:spacing w:line="240" w:lineRule="auto"/>
              <w:jc w:val="center"/>
              <w:rPr>
                <w:rFonts w:hint="eastAsia" w:ascii="方正仿宋_GBK" w:hAnsi="方正仿宋_GBK" w:eastAsia="方正仿宋_GBK" w:cs="方正仿宋_GBK"/>
                <w:kern w:val="2"/>
                <w:sz w:val="20"/>
                <w:szCs w:val="20"/>
                <w:lang w:val="en-US" w:eastAsia="zh-CN" w:bidi="ar-SA"/>
              </w:rPr>
            </w:pPr>
            <w:r>
              <w:rPr>
                <w:rFonts w:hint="eastAsia" w:ascii="方正仿宋_GBK" w:hAnsi="方正仿宋_GBK" w:eastAsia="方正仿宋_GBK" w:cs="方正仿宋_GBK"/>
                <w:kern w:val="2"/>
                <w:sz w:val="20"/>
                <w:szCs w:val="20"/>
                <w:lang w:val="en-US" w:eastAsia="zh-CN" w:bidi="ar-SA"/>
              </w:rPr>
              <w:t>质控记录</w:t>
            </w:r>
          </w:p>
        </w:tc>
        <w:tc>
          <w:tcPr>
            <w:tcW w:w="6345" w:type="dxa"/>
            <w:vAlign w:val="center"/>
          </w:tcPr>
          <w:p w14:paraId="0C3EA95A">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1.可根据开展不同的服务，设置不同的质控记录，护理人员须完成质控记录才能结束订单。</w:t>
            </w:r>
          </w:p>
        </w:tc>
      </w:tr>
      <w:tr w14:paraId="0D28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restart"/>
            <w:vAlign w:val="center"/>
          </w:tcPr>
          <w:p w14:paraId="7080C1BC">
            <w:pPr>
              <w:adjustRightInd w:val="0"/>
              <w:snapToGrid w:val="0"/>
              <w:spacing w:line="240" w:lineRule="auto"/>
              <w:rPr>
                <w:rFonts w:hint="eastAsia" w:ascii="方正仿宋_GBK" w:hAnsi="方正仿宋_GBK" w:eastAsia="方正仿宋_GBK" w:cs="方正仿宋_GBK"/>
                <w:kern w:val="2"/>
                <w:sz w:val="20"/>
                <w:szCs w:val="20"/>
                <w:lang w:val="en-US" w:eastAsia="zh-CN" w:bidi="ar-SA"/>
              </w:rPr>
            </w:pPr>
            <w:r>
              <w:rPr>
                <w:rFonts w:hint="eastAsia" w:ascii="方正仿宋_GBK" w:hAnsi="方正仿宋_GBK" w:eastAsia="方正仿宋_GBK" w:cs="方正仿宋_GBK"/>
                <w:kern w:val="2"/>
                <w:sz w:val="20"/>
                <w:szCs w:val="20"/>
                <w:lang w:val="en-US" w:eastAsia="zh-CN" w:bidi="ar-SA"/>
              </w:rPr>
              <w:t>监控服务中心</w:t>
            </w:r>
          </w:p>
        </w:tc>
        <w:tc>
          <w:tcPr>
            <w:tcW w:w="1385" w:type="dxa"/>
            <w:vAlign w:val="center"/>
          </w:tcPr>
          <w:p w14:paraId="350360D6">
            <w:pPr>
              <w:adjustRightInd w:val="0"/>
              <w:snapToGrid w:val="0"/>
              <w:spacing w:line="240" w:lineRule="auto"/>
              <w:jc w:val="center"/>
              <w:rPr>
                <w:rFonts w:hint="eastAsia" w:ascii="方正仿宋_GBK" w:hAnsi="方正仿宋_GBK" w:eastAsia="方正仿宋_GBK" w:cs="方正仿宋_GBK"/>
                <w:kern w:val="2"/>
                <w:sz w:val="20"/>
                <w:szCs w:val="20"/>
                <w:lang w:val="en-US" w:eastAsia="zh-CN" w:bidi="ar-SA"/>
              </w:rPr>
            </w:pPr>
            <w:r>
              <w:rPr>
                <w:rFonts w:hint="eastAsia" w:ascii="方正仿宋_GBK" w:hAnsi="方正仿宋_GBK" w:eastAsia="方正仿宋_GBK" w:cs="方正仿宋_GBK"/>
                <w:kern w:val="2"/>
                <w:sz w:val="20"/>
                <w:szCs w:val="20"/>
                <w:lang w:val="en-US" w:eastAsia="zh-CN" w:bidi="ar-SA"/>
              </w:rPr>
              <w:t>基础业务数据看板</w:t>
            </w:r>
          </w:p>
        </w:tc>
        <w:tc>
          <w:tcPr>
            <w:tcW w:w="6345" w:type="dxa"/>
            <w:vAlign w:val="center"/>
          </w:tcPr>
          <w:p w14:paraId="2F560E3A">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1.支持实时查看服务概况、用户活跃情况、团队用户状况、订单情况等维度数据。</w:t>
            </w:r>
          </w:p>
          <w:p w14:paraId="737F524C">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2.支持根据不同服务团队展示相应数据。</w:t>
            </w:r>
          </w:p>
          <w:p w14:paraId="521FD7E8">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3.提供基础业务实时数据的可视化统计界面。</w:t>
            </w:r>
          </w:p>
        </w:tc>
      </w:tr>
      <w:tr w14:paraId="0CFF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continue"/>
            <w:vAlign w:val="center"/>
          </w:tcPr>
          <w:p w14:paraId="087B3AAD">
            <w:pPr>
              <w:adjustRightInd w:val="0"/>
              <w:snapToGrid w:val="0"/>
              <w:spacing w:line="240" w:lineRule="auto"/>
              <w:ind w:firstLine="420"/>
              <w:jc w:val="center"/>
              <w:rPr>
                <w:rFonts w:hint="eastAsia" w:ascii="方正仿宋_GBK" w:hAnsi="方正仿宋_GBK" w:eastAsia="方正仿宋_GBK" w:cs="方正仿宋_GBK"/>
                <w:kern w:val="2"/>
                <w:sz w:val="20"/>
                <w:szCs w:val="20"/>
                <w:lang w:val="en-US" w:eastAsia="zh-CN" w:bidi="ar-SA"/>
              </w:rPr>
            </w:pPr>
          </w:p>
        </w:tc>
        <w:tc>
          <w:tcPr>
            <w:tcW w:w="1385" w:type="dxa"/>
            <w:vAlign w:val="center"/>
          </w:tcPr>
          <w:p w14:paraId="0934A9D8">
            <w:pPr>
              <w:adjustRightInd w:val="0"/>
              <w:snapToGrid w:val="0"/>
              <w:spacing w:line="240" w:lineRule="auto"/>
              <w:jc w:val="center"/>
              <w:rPr>
                <w:rFonts w:hint="eastAsia" w:ascii="方正仿宋_GBK" w:hAnsi="方正仿宋_GBK" w:eastAsia="方正仿宋_GBK" w:cs="方正仿宋_GBK"/>
                <w:kern w:val="2"/>
                <w:sz w:val="20"/>
                <w:szCs w:val="20"/>
                <w:lang w:val="en-US" w:eastAsia="zh-CN" w:bidi="ar-SA"/>
              </w:rPr>
            </w:pPr>
            <w:r>
              <w:rPr>
                <w:rFonts w:hint="eastAsia" w:ascii="方正仿宋_GBK" w:hAnsi="方正仿宋_GBK" w:eastAsia="方正仿宋_GBK" w:cs="方正仿宋_GBK"/>
                <w:kern w:val="2"/>
                <w:sz w:val="20"/>
                <w:szCs w:val="20"/>
                <w:lang w:val="en-US" w:eastAsia="zh-CN" w:bidi="ar-SA"/>
              </w:rPr>
              <w:t>用户数据看板</w:t>
            </w:r>
          </w:p>
        </w:tc>
        <w:tc>
          <w:tcPr>
            <w:tcW w:w="6345" w:type="dxa"/>
            <w:vAlign w:val="center"/>
          </w:tcPr>
          <w:p w14:paraId="17DDCB99">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1.实时统计查看系统注册人数、付费人数、不同服务类型的用户数量等。</w:t>
            </w:r>
          </w:p>
        </w:tc>
      </w:tr>
      <w:tr w14:paraId="70CC2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continue"/>
            <w:vAlign w:val="center"/>
          </w:tcPr>
          <w:p w14:paraId="38262D0C">
            <w:pPr>
              <w:adjustRightInd w:val="0"/>
              <w:snapToGrid w:val="0"/>
              <w:spacing w:line="240" w:lineRule="auto"/>
              <w:ind w:firstLine="420"/>
              <w:jc w:val="center"/>
              <w:rPr>
                <w:rFonts w:hint="eastAsia" w:ascii="方正仿宋_GBK" w:hAnsi="方正仿宋_GBK" w:eastAsia="方正仿宋_GBK" w:cs="方正仿宋_GBK"/>
                <w:kern w:val="2"/>
                <w:sz w:val="20"/>
                <w:szCs w:val="20"/>
                <w:lang w:val="en-US" w:eastAsia="zh-CN" w:bidi="ar-SA"/>
              </w:rPr>
            </w:pPr>
          </w:p>
        </w:tc>
        <w:tc>
          <w:tcPr>
            <w:tcW w:w="1385" w:type="dxa"/>
            <w:vAlign w:val="center"/>
          </w:tcPr>
          <w:p w14:paraId="6625F415">
            <w:pPr>
              <w:adjustRightInd w:val="0"/>
              <w:snapToGrid w:val="0"/>
              <w:spacing w:line="240" w:lineRule="auto"/>
              <w:jc w:val="center"/>
              <w:rPr>
                <w:rFonts w:hint="eastAsia" w:ascii="方正仿宋_GBK" w:hAnsi="方正仿宋_GBK" w:eastAsia="方正仿宋_GBK" w:cs="方正仿宋_GBK"/>
                <w:kern w:val="2"/>
                <w:sz w:val="20"/>
                <w:szCs w:val="20"/>
                <w:lang w:val="en-US" w:eastAsia="zh-CN" w:bidi="ar-SA"/>
              </w:rPr>
            </w:pPr>
            <w:r>
              <w:rPr>
                <w:rFonts w:hint="eastAsia" w:ascii="方正仿宋_GBK" w:hAnsi="方正仿宋_GBK" w:eastAsia="方正仿宋_GBK" w:cs="方正仿宋_GBK"/>
                <w:kern w:val="2"/>
                <w:sz w:val="20"/>
                <w:szCs w:val="20"/>
                <w:lang w:val="en-US" w:eastAsia="zh-CN" w:bidi="ar-SA"/>
              </w:rPr>
              <w:t>患者地理位置分布</w:t>
            </w:r>
          </w:p>
        </w:tc>
        <w:tc>
          <w:tcPr>
            <w:tcW w:w="6345" w:type="dxa"/>
            <w:vAlign w:val="center"/>
          </w:tcPr>
          <w:p w14:paraId="2B9D7991">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1.可查看患者在地图中的分布情况。</w:t>
            </w:r>
          </w:p>
          <w:p w14:paraId="350A9FF0">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2.若患者监测数据发生预警，进行预警提示。</w:t>
            </w:r>
          </w:p>
        </w:tc>
      </w:tr>
      <w:tr w14:paraId="04F76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continue"/>
            <w:vAlign w:val="center"/>
          </w:tcPr>
          <w:p w14:paraId="13E4EEDF">
            <w:pPr>
              <w:adjustRightInd w:val="0"/>
              <w:snapToGrid w:val="0"/>
              <w:spacing w:line="240" w:lineRule="auto"/>
              <w:ind w:firstLine="420"/>
              <w:jc w:val="center"/>
              <w:rPr>
                <w:rFonts w:hint="eastAsia" w:ascii="方正仿宋_GBK" w:hAnsi="方正仿宋_GBK" w:eastAsia="方正仿宋_GBK" w:cs="方正仿宋_GBK"/>
                <w:kern w:val="2"/>
                <w:sz w:val="20"/>
                <w:szCs w:val="20"/>
                <w:lang w:val="en-US" w:eastAsia="zh-CN" w:bidi="ar-SA"/>
              </w:rPr>
            </w:pPr>
          </w:p>
        </w:tc>
        <w:tc>
          <w:tcPr>
            <w:tcW w:w="1385" w:type="dxa"/>
            <w:vAlign w:val="center"/>
          </w:tcPr>
          <w:p w14:paraId="18BA7F61">
            <w:pPr>
              <w:adjustRightInd w:val="0"/>
              <w:snapToGrid w:val="0"/>
              <w:spacing w:line="240" w:lineRule="auto"/>
              <w:jc w:val="center"/>
              <w:rPr>
                <w:rFonts w:hint="eastAsia" w:ascii="方正仿宋_GBK" w:hAnsi="方正仿宋_GBK" w:eastAsia="方正仿宋_GBK" w:cs="方正仿宋_GBK"/>
                <w:kern w:val="2"/>
                <w:sz w:val="20"/>
                <w:szCs w:val="20"/>
                <w:lang w:val="en-US" w:eastAsia="zh-CN" w:bidi="ar-SA"/>
              </w:rPr>
            </w:pPr>
            <w:r>
              <w:rPr>
                <w:rFonts w:hint="eastAsia" w:ascii="方正仿宋_GBK" w:hAnsi="方正仿宋_GBK" w:eastAsia="方正仿宋_GBK" w:cs="方正仿宋_GBK"/>
                <w:kern w:val="2"/>
                <w:sz w:val="20"/>
                <w:szCs w:val="20"/>
                <w:lang w:val="en-US" w:eastAsia="zh-CN" w:bidi="ar-SA"/>
              </w:rPr>
              <w:t>管理信息看板</w:t>
            </w:r>
          </w:p>
        </w:tc>
        <w:tc>
          <w:tcPr>
            <w:tcW w:w="6345" w:type="dxa"/>
            <w:vAlign w:val="center"/>
          </w:tcPr>
          <w:p w14:paraId="54C5BE64">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1.可实时查看所有管理的情况，管理关键数据的完成情况。</w:t>
            </w:r>
          </w:p>
        </w:tc>
      </w:tr>
      <w:tr w14:paraId="16626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continue"/>
            <w:vAlign w:val="center"/>
          </w:tcPr>
          <w:p w14:paraId="311D582E">
            <w:pPr>
              <w:adjustRightInd w:val="0"/>
              <w:snapToGrid w:val="0"/>
              <w:spacing w:line="240" w:lineRule="auto"/>
              <w:ind w:firstLine="420"/>
              <w:jc w:val="center"/>
              <w:rPr>
                <w:rFonts w:hint="eastAsia" w:ascii="方正仿宋_GBK" w:hAnsi="方正仿宋_GBK" w:eastAsia="方正仿宋_GBK" w:cs="方正仿宋_GBK"/>
                <w:kern w:val="2"/>
                <w:sz w:val="20"/>
                <w:szCs w:val="20"/>
                <w:lang w:val="en-US" w:eastAsia="zh-CN" w:bidi="ar-SA"/>
              </w:rPr>
            </w:pPr>
          </w:p>
        </w:tc>
        <w:tc>
          <w:tcPr>
            <w:tcW w:w="1385" w:type="dxa"/>
            <w:vAlign w:val="center"/>
          </w:tcPr>
          <w:p w14:paraId="2B24D07D">
            <w:pPr>
              <w:adjustRightInd w:val="0"/>
              <w:snapToGrid w:val="0"/>
              <w:spacing w:line="240" w:lineRule="auto"/>
              <w:jc w:val="center"/>
              <w:rPr>
                <w:rFonts w:hint="eastAsia" w:ascii="方正仿宋_GBK" w:hAnsi="方正仿宋_GBK" w:eastAsia="方正仿宋_GBK" w:cs="方正仿宋_GBK"/>
                <w:kern w:val="2"/>
                <w:sz w:val="20"/>
                <w:szCs w:val="20"/>
                <w:lang w:val="en-US" w:eastAsia="zh-CN" w:bidi="ar-SA"/>
              </w:rPr>
            </w:pPr>
            <w:r>
              <w:rPr>
                <w:rFonts w:hint="eastAsia" w:ascii="方正仿宋_GBK" w:hAnsi="方正仿宋_GBK" w:eastAsia="方正仿宋_GBK" w:cs="方正仿宋_GBK"/>
                <w:kern w:val="2"/>
                <w:sz w:val="20"/>
                <w:szCs w:val="20"/>
                <w:lang w:val="en-US" w:eastAsia="zh-CN" w:bidi="ar-SA"/>
              </w:rPr>
              <w:t>各社区关键数据看板</w:t>
            </w:r>
          </w:p>
        </w:tc>
        <w:tc>
          <w:tcPr>
            <w:tcW w:w="6345" w:type="dxa"/>
            <w:vAlign w:val="center"/>
          </w:tcPr>
          <w:p w14:paraId="403541CC">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1.可查看各个社区的关注人数、注册人数、活跃人数及付费人数。</w:t>
            </w:r>
          </w:p>
        </w:tc>
      </w:tr>
      <w:tr w14:paraId="5DCC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continue"/>
            <w:vAlign w:val="center"/>
          </w:tcPr>
          <w:p w14:paraId="5FDDC9F7">
            <w:pPr>
              <w:adjustRightInd w:val="0"/>
              <w:snapToGrid w:val="0"/>
              <w:spacing w:line="240" w:lineRule="auto"/>
              <w:ind w:firstLine="420"/>
              <w:jc w:val="center"/>
              <w:rPr>
                <w:rFonts w:hint="eastAsia" w:ascii="方正仿宋_GBK" w:hAnsi="方正仿宋_GBK" w:eastAsia="方正仿宋_GBK" w:cs="方正仿宋_GBK"/>
                <w:kern w:val="2"/>
                <w:sz w:val="20"/>
                <w:szCs w:val="20"/>
                <w:lang w:val="en-US" w:eastAsia="zh-CN" w:bidi="ar-SA"/>
              </w:rPr>
            </w:pPr>
          </w:p>
        </w:tc>
        <w:tc>
          <w:tcPr>
            <w:tcW w:w="1385" w:type="dxa"/>
            <w:vAlign w:val="center"/>
          </w:tcPr>
          <w:p w14:paraId="29DA859B">
            <w:pPr>
              <w:adjustRightInd w:val="0"/>
              <w:snapToGrid w:val="0"/>
              <w:spacing w:line="240" w:lineRule="auto"/>
              <w:jc w:val="center"/>
              <w:rPr>
                <w:rFonts w:hint="eastAsia" w:ascii="方正仿宋_GBK" w:hAnsi="方正仿宋_GBK" w:eastAsia="方正仿宋_GBK" w:cs="方正仿宋_GBK"/>
                <w:kern w:val="2"/>
                <w:sz w:val="20"/>
                <w:szCs w:val="20"/>
                <w:lang w:val="en-US" w:eastAsia="zh-CN" w:bidi="ar-SA"/>
              </w:rPr>
            </w:pPr>
            <w:r>
              <w:rPr>
                <w:rFonts w:hint="eastAsia" w:ascii="方正仿宋_GBK" w:hAnsi="方正仿宋_GBK" w:eastAsia="方正仿宋_GBK" w:cs="方正仿宋_GBK"/>
                <w:kern w:val="2"/>
                <w:sz w:val="20"/>
                <w:szCs w:val="20"/>
                <w:lang w:val="en-US" w:eastAsia="zh-CN" w:bidi="ar-SA"/>
              </w:rPr>
              <w:t>预警系统提示</w:t>
            </w:r>
          </w:p>
        </w:tc>
        <w:tc>
          <w:tcPr>
            <w:tcW w:w="6345" w:type="dxa"/>
            <w:vAlign w:val="center"/>
          </w:tcPr>
          <w:p w14:paraId="13729C4D">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1.可实时接收一键紧急呼救提示。</w:t>
            </w:r>
          </w:p>
          <w:p w14:paraId="7D1DD69C">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2.可设置预警系统管理员接收短信通知。</w:t>
            </w:r>
          </w:p>
        </w:tc>
      </w:tr>
      <w:tr w14:paraId="47F38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46" w:type="dxa"/>
            <w:vMerge w:val="restart"/>
            <w:vAlign w:val="center"/>
          </w:tcPr>
          <w:p w14:paraId="04F35247">
            <w:p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2"/>
                <w:sz w:val="20"/>
                <w:szCs w:val="20"/>
                <w:lang w:val="en-US" w:eastAsia="zh-CN" w:bidi="ar-SA"/>
              </w:rPr>
              <w:t>组织管理</w:t>
            </w:r>
          </w:p>
        </w:tc>
        <w:tc>
          <w:tcPr>
            <w:tcW w:w="1385" w:type="dxa"/>
            <w:vAlign w:val="center"/>
          </w:tcPr>
          <w:p w14:paraId="6A89923F">
            <w:pPr>
              <w:adjustRightInd w:val="0"/>
              <w:snapToGrid w:val="0"/>
              <w:spacing w:line="240" w:lineRule="auto"/>
              <w:jc w:val="center"/>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业务数据看板</w:t>
            </w:r>
          </w:p>
        </w:tc>
        <w:tc>
          <w:tcPr>
            <w:tcW w:w="6345" w:type="dxa"/>
            <w:vAlign w:val="center"/>
          </w:tcPr>
          <w:p w14:paraId="125C6D75">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1.包括服务概况、用户活跃情况、订单情况的实时查看。</w:t>
            </w:r>
          </w:p>
          <w:p w14:paraId="0816CB7E">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2.可按照社区卫生服务中心要求查看相应的数据。</w:t>
            </w:r>
          </w:p>
          <w:p w14:paraId="459B9DB6">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3.可查看护理及服务的详情记录、订单详情记录及可视化统计界面。</w:t>
            </w:r>
          </w:p>
        </w:tc>
      </w:tr>
      <w:tr w14:paraId="7B24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246" w:type="dxa"/>
            <w:vMerge w:val="continue"/>
            <w:vAlign w:val="center"/>
          </w:tcPr>
          <w:p w14:paraId="27FF9FD4">
            <w:pPr>
              <w:adjustRightInd w:val="0"/>
              <w:snapToGrid w:val="0"/>
              <w:spacing w:line="240" w:lineRule="auto"/>
              <w:ind w:firstLine="600" w:firstLineChars="300"/>
              <w:rPr>
                <w:rFonts w:hint="eastAsia" w:ascii="方正仿宋_GBK" w:hAnsi="方正仿宋_GBK" w:eastAsia="方正仿宋_GBK" w:cs="方正仿宋_GBK"/>
                <w:kern w:val="0"/>
                <w:sz w:val="20"/>
                <w:szCs w:val="20"/>
                <w:lang w:val="en-US" w:eastAsia="zh-CN" w:bidi="ar-SA"/>
              </w:rPr>
            </w:pPr>
          </w:p>
        </w:tc>
        <w:tc>
          <w:tcPr>
            <w:tcW w:w="1385" w:type="dxa"/>
            <w:vAlign w:val="center"/>
          </w:tcPr>
          <w:p w14:paraId="60780875">
            <w:pPr>
              <w:adjustRightInd w:val="0"/>
              <w:snapToGrid w:val="0"/>
              <w:spacing w:line="240" w:lineRule="auto"/>
              <w:jc w:val="center"/>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角色权限管理</w:t>
            </w:r>
          </w:p>
        </w:tc>
        <w:tc>
          <w:tcPr>
            <w:tcW w:w="6345" w:type="dxa"/>
            <w:vAlign w:val="center"/>
          </w:tcPr>
          <w:p w14:paraId="5C7FC203">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spacing w:val="-2"/>
                <w:kern w:val="0"/>
                <w:sz w:val="20"/>
                <w:szCs w:val="20"/>
                <w:lang w:val="en-US" w:eastAsia="zh-CN" w:bidi="ar-SA"/>
              </w:rPr>
              <w:t>1.统一门户：实现对用户的统一认证、单点登录以及用户管理。</w:t>
            </w:r>
          </w:p>
          <w:p w14:paraId="759399D1">
            <w:pPr>
              <w:numPr>
                <w:ilvl w:val="0"/>
                <w:numId w:val="0"/>
              </w:numPr>
              <w:adjustRightInd w:val="0"/>
              <w:snapToGrid w:val="0"/>
              <w:spacing w:line="240" w:lineRule="auto"/>
              <w:rPr>
                <w:rFonts w:hint="eastAsia" w:ascii="方正仿宋_GBK" w:hAnsi="方正仿宋_GBK" w:eastAsia="方正仿宋_GBK" w:cs="方正仿宋_GBK"/>
                <w:kern w:val="0"/>
                <w:sz w:val="20"/>
                <w:szCs w:val="20"/>
                <w:lang w:val="en-US" w:eastAsia="zh-CN" w:bidi="ar-SA"/>
              </w:rPr>
            </w:pPr>
            <w:r>
              <w:rPr>
                <w:rFonts w:hint="eastAsia" w:ascii="方正仿宋_GBK" w:hAnsi="方正仿宋_GBK" w:eastAsia="方正仿宋_GBK" w:cs="方正仿宋_GBK"/>
                <w:kern w:val="0"/>
                <w:sz w:val="20"/>
                <w:szCs w:val="20"/>
                <w:lang w:val="en-US" w:eastAsia="zh-CN" w:bidi="ar-SA"/>
              </w:rPr>
              <w:t>2.支持账号、权限和角色管理及权限分配，具有分类查询、统计等功能；支持资源访问控制，支持自定义的访问控制策略。</w:t>
            </w:r>
          </w:p>
          <w:p w14:paraId="02A665E7">
            <w:pPr>
              <w:numPr>
                <w:ilvl w:val="0"/>
                <w:numId w:val="0"/>
              </w:numPr>
              <w:adjustRightInd w:val="0"/>
              <w:snapToGrid w:val="0"/>
              <w:spacing w:line="240" w:lineRule="auto"/>
              <w:rPr>
                <w:rFonts w:hint="eastAsia" w:ascii="方正仿宋_GBK" w:hAnsi="方正仿宋_GBK" w:eastAsia="方正仿宋_GBK" w:cs="方正仿宋_GBK"/>
                <w:kern w:val="2"/>
                <w:sz w:val="20"/>
                <w:szCs w:val="20"/>
                <w:lang w:val="en-US" w:eastAsia="zh-CN" w:bidi="ar-SA"/>
              </w:rPr>
            </w:pPr>
            <w:r>
              <w:rPr>
                <w:rFonts w:hint="eastAsia" w:ascii="方正仿宋_GBK" w:hAnsi="方正仿宋_GBK" w:eastAsia="方正仿宋_GBK" w:cs="方正仿宋_GBK"/>
                <w:spacing w:val="-2"/>
                <w:kern w:val="0"/>
                <w:sz w:val="20"/>
                <w:szCs w:val="20"/>
                <w:lang w:val="en-US" w:eastAsia="zh-CN" w:bidi="ar-SA"/>
              </w:rPr>
              <w:t>3.支持重要应用的组合授权（多角色同时参与）控制管理机制。</w:t>
            </w:r>
          </w:p>
        </w:tc>
      </w:tr>
      <w:bookmarkEnd w:id="8"/>
    </w:tbl>
    <w:p w14:paraId="6338FF7F">
      <w:pPr>
        <w:spacing w:line="520" w:lineRule="exact"/>
        <w:ind w:firstLine="210" w:firstLineChars="100"/>
        <w:rPr>
          <w:rFonts w:hint="eastAsia" w:ascii="Times New Roman" w:hAnsi="Times New Roman" w:cs="Times New Roman"/>
          <w:color w:val="000000" w:themeColor="text1"/>
          <w:lang w:val="en-US" w:eastAsia="zh-CN"/>
          <w14:textFill>
            <w14:solidFill>
              <w14:schemeClr w14:val="tx1"/>
            </w14:solidFill>
          </w14:textFill>
        </w:rPr>
      </w:pPr>
    </w:p>
    <w:p w14:paraId="53DE9C8E">
      <w:pPr>
        <w:spacing w:line="520" w:lineRule="exact"/>
        <w:ind w:firstLine="210" w:firstLineChars="100"/>
        <w:rPr>
          <w:rFonts w:hint="eastAsia" w:ascii="Times New Roman" w:hAnsi="Times New Roman" w:cs="Times New Roman"/>
          <w:color w:val="000000" w:themeColor="text1"/>
          <w:lang w:val="en-US" w:eastAsia="zh-CN"/>
          <w14:textFill>
            <w14:solidFill>
              <w14:schemeClr w14:val="tx1"/>
            </w14:solidFill>
          </w14:textFill>
        </w:rPr>
      </w:pPr>
    </w:p>
    <w:p w14:paraId="1E803D28">
      <w:pPr>
        <w:spacing w:line="520" w:lineRule="exact"/>
        <w:ind w:firstLine="321" w:firstLineChars="100"/>
        <w:rPr>
          <w:rFonts w:ascii="Times New Roman" w:hAnsi="Times New Roman" w:eastAsia="方正黑体_GBK" w:cs="Times New Roman"/>
          <w:color w:val="383838"/>
          <w:sz w:val="32"/>
          <w:szCs w:val="32"/>
          <w:shd w:val="clear" w:color="auto" w:fill="FFFFFF"/>
        </w:rPr>
      </w:pPr>
      <w:r>
        <w:rPr>
          <w:rFonts w:hint="eastAsia" w:ascii="方正仿宋_GBK" w:hAnsi="方正仿宋_GBK" w:eastAsia="方正仿宋_GBK" w:cs="方正仿宋_GBK"/>
          <w:b/>
          <w:sz w:val="32"/>
          <w:lang w:val="en-US" w:eastAsia="zh-CN"/>
        </w:rPr>
        <w:t xml:space="preserve"> 四、</w:t>
      </w:r>
      <w:r>
        <w:rPr>
          <w:rFonts w:ascii="Times New Roman" w:hAnsi="Times New Roman" w:eastAsia="方正黑体_GBK" w:cs="Times New Roman"/>
          <w:color w:val="383838"/>
          <w:sz w:val="32"/>
          <w:szCs w:val="32"/>
          <w:shd w:val="clear" w:color="auto" w:fill="FFFFFF"/>
        </w:rPr>
        <w:t>报名时间及方式</w:t>
      </w:r>
    </w:p>
    <w:p w14:paraId="4060613B">
      <w:pPr>
        <w:spacing w:before="120" w:after="120" w:line="288" w:lineRule="auto"/>
        <w:ind w:left="0" w:firstLine="500" w:firstLineChars="0"/>
        <w:jc w:val="left"/>
        <w:rPr>
          <w:rFonts w:hint="eastAsia" w:ascii="方正仿宋_GBK" w:hAnsi="方正仿宋_GBK" w:eastAsia="方正仿宋_GBK" w:cs="方正仿宋_GBK"/>
          <w:sz w:val="22"/>
        </w:rPr>
      </w:pPr>
      <w:r>
        <w:rPr>
          <w:rFonts w:hint="eastAsia" w:ascii="方正仿宋_GBK" w:hAnsi="方正仿宋_GBK" w:eastAsia="方正仿宋_GBK" w:cs="方正仿宋_GBK"/>
          <w:sz w:val="22"/>
          <w:lang w:val="en-US" w:eastAsia="zh-CN"/>
        </w:rPr>
        <w:t>1.</w:t>
      </w:r>
      <w:r>
        <w:rPr>
          <w:rFonts w:hint="eastAsia" w:ascii="方正仿宋_GBK" w:hAnsi="方正仿宋_GBK" w:eastAsia="方正仿宋_GBK" w:cs="方正仿宋_GBK"/>
          <w:sz w:val="22"/>
        </w:rPr>
        <w:t>报名发布及截止时间：202</w:t>
      </w:r>
      <w:r>
        <w:rPr>
          <w:rFonts w:hint="eastAsia" w:ascii="方正仿宋_GBK" w:hAnsi="方正仿宋_GBK" w:eastAsia="方正仿宋_GBK" w:cs="方正仿宋_GBK"/>
          <w:sz w:val="22"/>
          <w:lang w:val="en-US" w:eastAsia="zh-CN"/>
        </w:rPr>
        <w:t>6</w:t>
      </w:r>
      <w:r>
        <w:rPr>
          <w:rFonts w:hint="eastAsia" w:ascii="方正仿宋_GBK" w:hAnsi="方正仿宋_GBK" w:eastAsia="方正仿宋_GBK" w:cs="方正仿宋_GBK"/>
          <w:sz w:val="22"/>
        </w:rPr>
        <w:t>年</w:t>
      </w:r>
      <w:r>
        <w:rPr>
          <w:rFonts w:hint="eastAsia" w:ascii="方正仿宋_GBK" w:hAnsi="方正仿宋_GBK" w:eastAsia="方正仿宋_GBK" w:cs="方正仿宋_GBK"/>
          <w:sz w:val="22"/>
          <w:lang w:val="en-US" w:eastAsia="zh-CN"/>
        </w:rPr>
        <w:t>9</w:t>
      </w:r>
      <w:r>
        <w:rPr>
          <w:rFonts w:hint="eastAsia" w:ascii="方正仿宋_GBK" w:hAnsi="方正仿宋_GBK" w:eastAsia="方正仿宋_GBK" w:cs="方正仿宋_GBK"/>
          <w:sz w:val="22"/>
        </w:rPr>
        <w:t>月</w:t>
      </w:r>
      <w:r>
        <w:rPr>
          <w:rFonts w:hint="eastAsia" w:ascii="方正仿宋_GBK" w:hAnsi="方正仿宋_GBK" w:eastAsia="方正仿宋_GBK" w:cs="方正仿宋_GBK"/>
          <w:sz w:val="22"/>
          <w:lang w:val="en-US" w:eastAsia="zh-CN"/>
        </w:rPr>
        <w:t>28</w:t>
      </w:r>
      <w:r>
        <w:rPr>
          <w:rFonts w:hint="eastAsia" w:ascii="方正仿宋_GBK" w:hAnsi="方正仿宋_GBK" w:eastAsia="方正仿宋_GBK" w:cs="方正仿宋_GBK"/>
          <w:sz w:val="22"/>
        </w:rPr>
        <w:t>日</w:t>
      </w:r>
      <w:r>
        <w:rPr>
          <w:rFonts w:hint="eastAsia" w:ascii="方正仿宋_GBK" w:hAnsi="方正仿宋_GBK" w:eastAsia="方正仿宋_GBK" w:cs="方正仿宋_GBK"/>
          <w:sz w:val="22"/>
          <w:lang w:val="en-US" w:eastAsia="zh-CN"/>
        </w:rPr>
        <w:t>9</w:t>
      </w:r>
      <w:r>
        <w:rPr>
          <w:rFonts w:hint="eastAsia" w:ascii="方正仿宋_GBK" w:hAnsi="方正仿宋_GBK" w:eastAsia="方正仿宋_GBK" w:cs="方正仿宋_GBK"/>
          <w:sz w:val="22"/>
        </w:rPr>
        <w:t>:00-202</w:t>
      </w:r>
      <w:r>
        <w:rPr>
          <w:rFonts w:hint="eastAsia" w:ascii="方正仿宋_GBK" w:hAnsi="方正仿宋_GBK" w:eastAsia="方正仿宋_GBK" w:cs="方正仿宋_GBK"/>
          <w:sz w:val="22"/>
          <w:lang w:val="en-US" w:eastAsia="zh-CN"/>
        </w:rPr>
        <w:t>6</w:t>
      </w:r>
      <w:r>
        <w:rPr>
          <w:rFonts w:hint="eastAsia" w:ascii="方正仿宋_GBK" w:hAnsi="方正仿宋_GBK" w:eastAsia="方正仿宋_GBK" w:cs="方正仿宋_GBK"/>
          <w:sz w:val="22"/>
        </w:rPr>
        <w:t>年</w:t>
      </w:r>
      <w:r>
        <w:rPr>
          <w:rFonts w:hint="eastAsia" w:ascii="方正仿宋_GBK" w:hAnsi="方正仿宋_GBK" w:eastAsia="方正仿宋_GBK" w:cs="方正仿宋_GBK"/>
          <w:sz w:val="22"/>
          <w:lang w:val="en-US" w:eastAsia="zh-CN"/>
        </w:rPr>
        <w:t>10</w:t>
      </w:r>
      <w:r>
        <w:rPr>
          <w:rFonts w:hint="eastAsia" w:ascii="方正仿宋_GBK" w:hAnsi="方正仿宋_GBK" w:eastAsia="方正仿宋_GBK" w:cs="方正仿宋_GBK"/>
          <w:sz w:val="22"/>
        </w:rPr>
        <w:t>月</w:t>
      </w:r>
      <w:r>
        <w:rPr>
          <w:rFonts w:hint="eastAsia" w:ascii="方正仿宋_GBK" w:hAnsi="方正仿宋_GBK" w:eastAsia="方正仿宋_GBK" w:cs="方正仿宋_GBK"/>
          <w:sz w:val="22"/>
          <w:lang w:val="en-US" w:eastAsia="zh-CN"/>
        </w:rPr>
        <w:t>8</w:t>
      </w:r>
      <w:r>
        <w:rPr>
          <w:rFonts w:hint="eastAsia" w:ascii="方正仿宋_GBK" w:hAnsi="方正仿宋_GBK" w:eastAsia="方正仿宋_GBK" w:cs="方正仿宋_GBK"/>
          <w:sz w:val="22"/>
        </w:rPr>
        <w:t>日</w:t>
      </w:r>
      <w:r>
        <w:rPr>
          <w:rFonts w:hint="eastAsia" w:ascii="方正仿宋_GBK" w:hAnsi="方正仿宋_GBK" w:eastAsia="方正仿宋_GBK" w:cs="方正仿宋_GBK"/>
          <w:sz w:val="22"/>
          <w:lang w:val="en-US" w:eastAsia="zh-CN"/>
        </w:rPr>
        <w:t>9</w:t>
      </w:r>
      <w:r>
        <w:rPr>
          <w:rFonts w:hint="eastAsia" w:ascii="方正仿宋_GBK" w:hAnsi="方正仿宋_GBK" w:eastAsia="方正仿宋_GBK" w:cs="方正仿宋_GBK"/>
          <w:sz w:val="22"/>
        </w:rPr>
        <w:t>:00</w:t>
      </w:r>
    </w:p>
    <w:p w14:paraId="78969616">
      <w:pPr>
        <w:keepNext w:val="0"/>
        <w:keepLines w:val="0"/>
        <w:pageBreakBefore w:val="0"/>
        <w:widowControl/>
        <w:numPr>
          <w:ilvl w:val="0"/>
          <w:numId w:val="0"/>
        </w:numPr>
        <w:suppressLineNumbers w:val="0"/>
        <w:kinsoku w:val="0"/>
        <w:overflowPunct/>
        <w:topLinePunct w:val="0"/>
        <w:autoSpaceDE w:val="0"/>
        <w:autoSpaceDN w:val="0"/>
        <w:bidi w:val="0"/>
        <w:adjustRightInd w:val="0"/>
        <w:snapToGrid w:val="0"/>
        <w:spacing w:after="0" w:line="594" w:lineRule="exact"/>
        <w:ind w:left="0" w:leftChars="0" w:right="0" w:rightChars="0" w:firstLine="440" w:firstLineChars="200"/>
        <w:jc w:val="both"/>
        <w:textAlignment w:val="center"/>
        <w:rPr>
          <w:rFonts w:hint="eastAsia" w:ascii="方正仿宋_GBK" w:hAnsi="方正仿宋_GBK" w:eastAsia="方正仿宋_GBK" w:cs="方正仿宋_GBK"/>
          <w:sz w:val="22"/>
          <w:lang w:val="en-US" w:eastAsia="zh-CN"/>
        </w:rPr>
      </w:pPr>
      <w:r>
        <w:rPr>
          <w:rFonts w:hint="eastAsia" w:ascii="方正仿宋_GBK" w:hAnsi="方正仿宋_GBK" w:eastAsia="方正仿宋_GBK" w:cs="方正仿宋_GBK"/>
          <w:sz w:val="22"/>
          <w:lang w:val="en-US" w:eastAsia="zh-CN"/>
        </w:rPr>
        <w:t>2.</w:t>
      </w:r>
      <w:r>
        <w:rPr>
          <w:rFonts w:hint="eastAsia" w:ascii="方正仿宋_GBK" w:hAnsi="方正仿宋_GBK" w:eastAsia="方正仿宋_GBK" w:cs="方正仿宋_GBK"/>
          <w:sz w:val="22"/>
        </w:rPr>
        <w:t>报名方式：线</w:t>
      </w:r>
      <w:r>
        <w:rPr>
          <w:rFonts w:hint="eastAsia" w:ascii="方正仿宋_GBK" w:hAnsi="方正仿宋_GBK" w:eastAsia="方正仿宋_GBK" w:cs="方正仿宋_GBK"/>
          <w:sz w:val="22"/>
          <w:lang w:val="en-US" w:eastAsia="zh-CN"/>
        </w:rPr>
        <w:t>下</w:t>
      </w:r>
      <w:r>
        <w:rPr>
          <w:rFonts w:hint="eastAsia" w:ascii="方正仿宋_GBK" w:hAnsi="方正仿宋_GBK" w:eastAsia="方正仿宋_GBK" w:cs="方正仿宋_GBK"/>
          <w:sz w:val="22"/>
        </w:rPr>
        <w:t>报名，将盖章后报价，同时附上具体</w:t>
      </w:r>
      <w:r>
        <w:rPr>
          <w:rFonts w:hint="eastAsia" w:ascii="方正仿宋_GBK" w:hAnsi="方正仿宋_GBK" w:eastAsia="方正仿宋_GBK" w:cs="方正仿宋_GBK"/>
          <w:sz w:val="22"/>
          <w:lang w:val="en-US" w:eastAsia="zh-CN"/>
        </w:rPr>
        <w:t>软件内容在截止时间内交往重庆市红十字会医院3号楼7楼信息中心。</w:t>
      </w:r>
    </w:p>
    <w:p w14:paraId="052F53AD">
      <w:pPr>
        <w:spacing w:before="120" w:after="120" w:line="288" w:lineRule="auto"/>
        <w:ind w:left="0" w:firstLine="500" w:firstLineChars="0"/>
        <w:jc w:val="left"/>
        <w:rPr>
          <w:rFonts w:hint="default" w:ascii="方正仿宋_GBK" w:hAnsi="方正仿宋_GBK" w:eastAsia="方正仿宋_GBK" w:cs="方正仿宋_GBK"/>
          <w:sz w:val="22"/>
          <w:lang w:val="en-US" w:eastAsia="zh-CN"/>
        </w:rPr>
      </w:pPr>
      <w:r>
        <w:rPr>
          <w:rFonts w:hint="eastAsia" w:ascii="方正仿宋_GBK" w:hAnsi="方正仿宋_GBK" w:eastAsia="方正仿宋_GBK" w:cs="方正仿宋_GBK"/>
          <w:sz w:val="22"/>
          <w:lang w:val="en-US" w:eastAsia="zh-CN"/>
        </w:rPr>
        <w:t>3.格式自拟。</w:t>
      </w:r>
      <w:bookmarkStart w:id="9" w:name="_GoBack"/>
      <w:bookmarkEnd w:id="9"/>
    </w:p>
    <w:p w14:paraId="032AD3D4">
      <w:pPr>
        <w:rPr>
          <w:rFonts w:hint="eastAsia"/>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1" w:fontKey="{896C550F-0B4B-45C4-9F6C-F606F3073393}"/>
  </w:font>
  <w:font w:name="方正仿宋_GBK">
    <w:panose1 w:val="02000000000000000000"/>
    <w:charset w:val="86"/>
    <w:family w:val="auto"/>
    <w:pitch w:val="default"/>
    <w:sig w:usb0="A00002BF" w:usb1="38CF7CFA" w:usb2="00082016" w:usb3="00000000" w:csb0="00040001" w:csb1="00000000"/>
    <w:embedRegular r:id="rId2" w:fontKey="{FBAA632B-DA86-4DE2-B85A-3479B6669135}"/>
  </w:font>
  <w:font w:name="方正黑体_GBK">
    <w:panose1 w:val="02010600010101010101"/>
    <w:charset w:val="86"/>
    <w:family w:val="script"/>
    <w:pitch w:val="default"/>
    <w:sig w:usb0="00000001" w:usb1="080E0000" w:usb2="00000000" w:usb3="00000000" w:csb0="00040000" w:csb1="00000000"/>
    <w:embedRegular r:id="rId3" w:fontKey="{6543AAAF-91F3-4E63-AB6F-1A2FEFD0CE0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B8D5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1586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89BD11"/>
    <w:multiLevelType w:val="singleLevel"/>
    <w:tmpl w:val="7F89BD11"/>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F0173"/>
    <w:rsid w:val="10442F82"/>
    <w:rsid w:val="2ACE03B2"/>
    <w:rsid w:val="30877364"/>
    <w:rsid w:val="4B80701A"/>
    <w:rsid w:val="58587D09"/>
    <w:rsid w:val="5D8E4128"/>
    <w:rsid w:val="5DD85FCC"/>
    <w:rsid w:val="64511490"/>
    <w:rsid w:val="66B12A3A"/>
    <w:rsid w:val="7D3A0B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方正仿宋_GBK" w:cs="Times New Roman"/>
      <w:b/>
      <w:sz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781</Words>
  <Characters>796</Characters>
  <TotalTime>1</TotalTime>
  <ScaleCrop>false</ScaleCrop>
  <LinksUpToDate>false</LinksUpToDate>
  <CharactersWithSpaces>798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2026-09-22T01:46:00Z</dcterms:created>
  <dc:creator>Apache POI</dc:creator>
  <cp:lastModifiedBy>文文</cp:lastModifiedBy>
  <dcterms:modified xsi:type="dcterms:W3CDTF">2026-09-28T01:45:02Z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{"Label":"1","ContentProducer":"001191110102MACQD9K64010000","ProduceID":"7688170101270498273","ReservedCode1":"","ContentPropagator":"","PropagateID":"","ReservedCode2":""}</vt:lpwstr>
  </property>
  <property fmtid="{D5CDD505-2E9C-101B-9397-08002B2CF9AE}" pid="3" name="KSOTemplateDocerSaveRecord">
    <vt:lpwstr>eyJoZGlkIjoiNzM0OTdiNjYyMjg2ZjUyMDY0ZjY5MmI5NWI5MzZlNmYiLCJ1c2VySWQiOiIxNDMzNjE4NSJ9</vt:lpwstr>
  </property>
  <property fmtid="{D5CDD505-2E9C-101B-9397-08002B2CF9AE}" pid="4" name="KSOProductBuildVer">
    <vt:lpwstr>2052-12.1.0.28505</vt:lpwstr>
  </property>
  <property fmtid="{D5CDD505-2E9C-101B-9397-08002B2CF9AE}" pid="5" name="ICV">
    <vt:lpwstr>E4EDBCC1E27A49A3A626D519ED031F12_13</vt:lpwstr>
  </property>
</Properties>
</file>