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DE1CC91">
      <w:pPr>
        <w:spacing w:line="360" w:lineRule="auto"/>
        <w:jc w:val="center"/>
        <w:rPr>
          <w:rFonts w:eastAsia="方正小标宋_GBK"/>
          <w:color w:val="000000"/>
          <w:sz w:val="44"/>
          <w:szCs w:val="44"/>
        </w:rPr>
      </w:pPr>
      <w:r>
        <w:rPr>
          <w:rFonts w:eastAsia="方正小标宋_GBK"/>
          <w:color w:val="000000"/>
          <w:sz w:val="44"/>
          <w:szCs w:val="44"/>
        </w:rPr>
        <w:t>重庆市红十字会医院</w:t>
      </w:r>
    </w:p>
    <w:p w14:paraId="0A71B6D0">
      <w:pPr>
        <w:spacing w:line="360" w:lineRule="auto"/>
        <w:jc w:val="center"/>
        <w:rPr>
          <w:rFonts w:eastAsia="方正小标宋_GBK"/>
          <w:color w:val="000000"/>
          <w:sz w:val="44"/>
          <w:szCs w:val="44"/>
        </w:rPr>
      </w:pPr>
      <w:r>
        <w:rPr>
          <w:rFonts w:eastAsia="方正小标宋_GBK"/>
          <w:color w:val="000000"/>
          <w:sz w:val="44"/>
          <w:szCs w:val="44"/>
        </w:rPr>
        <w:t>公开比选采购文件</w:t>
      </w:r>
    </w:p>
    <w:p w14:paraId="477EFED6">
      <w:pPr>
        <w:spacing w:line="600" w:lineRule="exact"/>
        <w:outlineLvl w:val="0"/>
        <w:rPr>
          <w:rFonts w:eastAsia="黑体"/>
          <w:color w:val="000000"/>
          <w:sz w:val="52"/>
        </w:rPr>
      </w:pPr>
    </w:p>
    <w:p w14:paraId="6E033733">
      <w:pPr>
        <w:spacing w:line="600" w:lineRule="exact"/>
        <w:outlineLvl w:val="0"/>
        <w:rPr>
          <w:rFonts w:eastAsia="黑体"/>
          <w:color w:val="000000"/>
          <w:sz w:val="52"/>
        </w:rPr>
      </w:pPr>
    </w:p>
    <w:p w14:paraId="0C69891B">
      <w:pPr>
        <w:spacing w:line="600" w:lineRule="exact"/>
        <w:outlineLvl w:val="0"/>
        <w:rPr>
          <w:rFonts w:eastAsia="黑体"/>
          <w:color w:val="000000"/>
          <w:sz w:val="52"/>
        </w:rPr>
      </w:pPr>
    </w:p>
    <w:p w14:paraId="47BD81BD">
      <w:pPr>
        <w:spacing w:line="600" w:lineRule="exact"/>
        <w:outlineLvl w:val="0"/>
        <w:rPr>
          <w:rFonts w:eastAsia="黑体"/>
          <w:color w:val="000000"/>
          <w:sz w:val="52"/>
        </w:rPr>
      </w:pPr>
    </w:p>
    <w:p w14:paraId="4C26FA97">
      <w:pPr>
        <w:spacing w:line="600" w:lineRule="exact"/>
        <w:outlineLvl w:val="0"/>
        <w:rPr>
          <w:rFonts w:eastAsia="黑体"/>
          <w:color w:val="000000"/>
          <w:sz w:val="52"/>
        </w:rPr>
      </w:pPr>
    </w:p>
    <w:p w14:paraId="0E683EE9">
      <w:pPr>
        <w:rPr>
          <w:color w:val="000000"/>
          <w:sz w:val="36"/>
          <w:szCs w:val="36"/>
        </w:rPr>
      </w:pPr>
    </w:p>
    <w:p w14:paraId="50423222">
      <w:pPr>
        <w:spacing w:line="480" w:lineRule="exact"/>
        <w:ind w:firstLine="960" w:firstLineChars="300"/>
        <w:outlineLvl w:val="0"/>
        <w:rPr>
          <w:rFonts w:eastAsia="仿宋"/>
          <w:b/>
          <w:color w:val="000000"/>
          <w:sz w:val="32"/>
        </w:rPr>
      </w:pPr>
      <w:r>
        <w:rPr>
          <w:rFonts w:eastAsia="方正小标宋_GBK"/>
          <w:color w:val="000000"/>
          <w:sz w:val="32"/>
          <w:szCs w:val="32"/>
        </w:rPr>
        <w:t>采购文件编号</w:t>
      </w:r>
      <w:r>
        <w:rPr>
          <w:rFonts w:eastAsia="仿宋"/>
          <w:b/>
          <w:color w:val="000000"/>
          <w:sz w:val="32"/>
        </w:rPr>
        <w:t>：</w:t>
      </w:r>
      <w:r>
        <w:rPr>
          <w:rFonts w:eastAsia="方正小标宋_GBK"/>
          <w:color w:val="000000"/>
          <w:sz w:val="32"/>
          <w:szCs w:val="32"/>
        </w:rPr>
        <w:t>HHYY-CG-FW-2026-0</w:t>
      </w:r>
      <w:r>
        <w:rPr>
          <w:rFonts w:hint="eastAsia" w:eastAsia="方正小标宋_GBK"/>
          <w:color w:val="000000"/>
          <w:sz w:val="32"/>
          <w:szCs w:val="32"/>
        </w:rPr>
        <w:t>33</w:t>
      </w:r>
      <w:r>
        <w:rPr>
          <w:rFonts w:eastAsia="方正小标宋_GBK"/>
          <w:color w:val="000000"/>
          <w:sz w:val="32"/>
          <w:szCs w:val="32"/>
        </w:rPr>
        <w:t>-01</w:t>
      </w:r>
    </w:p>
    <w:p w14:paraId="168A12C1">
      <w:pPr>
        <w:spacing w:line="480" w:lineRule="exact"/>
        <w:ind w:firstLine="960" w:firstLineChars="300"/>
        <w:outlineLvl w:val="0"/>
        <w:rPr>
          <w:rFonts w:eastAsia="方正小标宋_GBK"/>
          <w:color w:val="000000"/>
          <w:sz w:val="32"/>
          <w:szCs w:val="32"/>
        </w:rPr>
      </w:pPr>
      <w:r>
        <w:rPr>
          <w:rFonts w:eastAsia="方正小标宋_GBK"/>
          <w:color w:val="000000"/>
          <w:sz w:val="32"/>
          <w:szCs w:val="32"/>
        </w:rPr>
        <w:t>项目名称：统一运维监控管理平台</w:t>
      </w:r>
      <w:r>
        <w:rPr>
          <w:rFonts w:eastAsia="方正小标宋_GBK"/>
          <w:color w:val="000000"/>
          <w:sz w:val="32"/>
          <w:szCs w:val="32"/>
        </w:rPr>
        <w:tab/>
      </w:r>
    </w:p>
    <w:p w14:paraId="49FE25C4">
      <w:pPr>
        <w:ind w:firstLine="1920" w:firstLineChars="600"/>
        <w:rPr>
          <w:rFonts w:eastAsia="仿宋"/>
          <w:color w:val="000000"/>
          <w:sz w:val="32"/>
          <w:szCs w:val="32"/>
        </w:rPr>
      </w:pPr>
    </w:p>
    <w:p w14:paraId="35FBBE20">
      <w:pPr>
        <w:ind w:firstLine="1920" w:firstLineChars="600"/>
        <w:rPr>
          <w:rFonts w:eastAsia="仿宋"/>
          <w:color w:val="000000"/>
          <w:sz w:val="32"/>
          <w:szCs w:val="32"/>
        </w:rPr>
      </w:pPr>
    </w:p>
    <w:p w14:paraId="15B99703">
      <w:pPr>
        <w:rPr>
          <w:rFonts w:eastAsia="仿宋"/>
          <w:color w:val="000000"/>
          <w:sz w:val="32"/>
          <w:szCs w:val="32"/>
        </w:rPr>
      </w:pPr>
    </w:p>
    <w:p w14:paraId="0BE30936">
      <w:pPr>
        <w:ind w:firstLine="1920" w:firstLineChars="600"/>
        <w:rPr>
          <w:rFonts w:eastAsia="仿宋"/>
          <w:color w:val="000000"/>
          <w:sz w:val="32"/>
          <w:szCs w:val="32"/>
        </w:rPr>
      </w:pPr>
    </w:p>
    <w:p w14:paraId="1FE51C29">
      <w:pPr>
        <w:ind w:firstLine="1920" w:firstLineChars="600"/>
        <w:rPr>
          <w:rFonts w:eastAsia="仿宋"/>
          <w:color w:val="000000"/>
          <w:sz w:val="32"/>
          <w:szCs w:val="32"/>
        </w:rPr>
      </w:pPr>
    </w:p>
    <w:p w14:paraId="33760592">
      <w:pPr>
        <w:ind w:firstLine="1920" w:firstLineChars="600"/>
        <w:rPr>
          <w:rFonts w:eastAsia="仿宋"/>
          <w:color w:val="000000"/>
          <w:sz w:val="32"/>
          <w:szCs w:val="32"/>
        </w:rPr>
      </w:pPr>
    </w:p>
    <w:p w14:paraId="51C0801D">
      <w:pPr>
        <w:rPr>
          <w:rFonts w:eastAsia="仿宋"/>
          <w:color w:val="000000"/>
          <w:sz w:val="32"/>
          <w:szCs w:val="32"/>
        </w:rPr>
      </w:pPr>
    </w:p>
    <w:p w14:paraId="60FFBCB6">
      <w:pPr>
        <w:ind w:firstLine="1920" w:firstLineChars="600"/>
        <w:rPr>
          <w:rFonts w:eastAsia="仿宋"/>
          <w:color w:val="000000"/>
          <w:sz w:val="32"/>
          <w:szCs w:val="32"/>
        </w:rPr>
      </w:pPr>
    </w:p>
    <w:p w14:paraId="4DF78CB3">
      <w:pPr>
        <w:spacing w:line="480" w:lineRule="exact"/>
        <w:jc w:val="center"/>
        <w:outlineLvl w:val="0"/>
        <w:rPr>
          <w:rFonts w:eastAsia="方正小标宋_GBK"/>
          <w:bCs/>
          <w:color w:val="000000"/>
          <w:sz w:val="32"/>
          <w:szCs w:val="32"/>
        </w:rPr>
      </w:pPr>
      <w:r>
        <w:rPr>
          <w:rFonts w:eastAsia="方正小标宋_GBK"/>
          <w:bCs/>
          <w:color w:val="000000"/>
          <w:sz w:val="32"/>
          <w:szCs w:val="32"/>
        </w:rPr>
        <w:t>采购人：重庆市红十字会医院</w:t>
      </w:r>
    </w:p>
    <w:p w14:paraId="2CDD8F29">
      <w:pPr>
        <w:spacing w:line="480" w:lineRule="exact"/>
        <w:jc w:val="center"/>
        <w:outlineLvl w:val="0"/>
        <w:rPr>
          <w:rFonts w:eastAsia="方正小标宋_GBK"/>
          <w:color w:val="000000"/>
          <w:sz w:val="32"/>
          <w:szCs w:val="32"/>
        </w:rPr>
        <w:sectPr>
          <w:footerReference r:id="rId3" w:type="default"/>
          <w:pgSz w:w="11906" w:h="16838"/>
          <w:pgMar w:top="1984" w:right="1446" w:bottom="1644" w:left="1446" w:header="851" w:footer="992" w:gutter="0"/>
          <w:pgNumType w:start="1"/>
          <w:cols w:space="720" w:num="1"/>
          <w:docGrid w:type="lines" w:linePitch="312" w:charSpace="0"/>
        </w:sectPr>
      </w:pPr>
      <w:r>
        <w:rPr>
          <w:rFonts w:eastAsia="方正小标宋_GBK"/>
          <w:color w:val="000000"/>
          <w:sz w:val="32"/>
          <w:szCs w:val="32"/>
        </w:rPr>
        <w:t>二〇二六年</w:t>
      </w:r>
      <w:r>
        <w:rPr>
          <w:rFonts w:hint="eastAsia" w:eastAsia="方正小标宋_GBK"/>
          <w:color w:val="000000"/>
          <w:sz w:val="32"/>
          <w:szCs w:val="32"/>
        </w:rPr>
        <w:t>十</w:t>
      </w:r>
      <w:r>
        <w:rPr>
          <w:rFonts w:eastAsia="方正小标宋_GBK"/>
          <w:color w:val="000000"/>
          <w:sz w:val="32"/>
          <w:szCs w:val="32"/>
        </w:rPr>
        <w:t>月</w:t>
      </w:r>
    </w:p>
    <w:p w14:paraId="4AC9F375">
      <w:pPr>
        <w:pStyle w:val="162"/>
        <w:spacing w:line="240" w:lineRule="auto"/>
        <w:rPr>
          <w:rFonts w:hint="default" w:ascii="Times New Roman" w:hAnsi="Times New Roman"/>
        </w:rPr>
      </w:pPr>
      <w:bookmarkStart w:id="0" w:name="_Toc106030870"/>
      <w:bookmarkStart w:id="1" w:name="_Toc12789052"/>
      <w:bookmarkStart w:id="2" w:name="_Toc76462316"/>
      <w:bookmarkStart w:id="3" w:name="_Toc11641050"/>
      <w:r>
        <w:rPr>
          <w:rFonts w:hint="default" w:ascii="Times New Roman" w:hAnsi="Times New Roman"/>
        </w:rPr>
        <w:t>第一篇  采购邀请书</w:t>
      </w:r>
      <w:bookmarkEnd w:id="0"/>
      <w:bookmarkEnd w:id="1"/>
      <w:bookmarkEnd w:id="2"/>
      <w:bookmarkEnd w:id="3"/>
    </w:p>
    <w:p w14:paraId="408DA7FF">
      <w:pPr>
        <w:pStyle w:val="77"/>
        <w:rPr>
          <w:rFonts w:ascii="Times New Roman" w:hAnsi="Times New Roman" w:cs="Times New Roman"/>
        </w:rPr>
      </w:pPr>
      <w:bookmarkStart w:id="4" w:name="_Toc317775175"/>
      <w:bookmarkStart w:id="5" w:name="_Toc76462317"/>
      <w:bookmarkStart w:id="6" w:name="_Toc313893526"/>
      <w:bookmarkStart w:id="7" w:name="_Toc106030871"/>
      <w:r>
        <w:rPr>
          <w:rFonts w:ascii="Times New Roman" w:hAnsi="Times New Roman" w:cs="Times New Roman"/>
        </w:rPr>
        <w:t>重庆市红十字会医院对统一运维监控管理平台</w:t>
      </w:r>
      <w:r>
        <w:rPr>
          <w:rFonts w:hint="eastAsia" w:ascii="Times New Roman" w:hAnsi="Times New Roman" w:cs="Times New Roman"/>
        </w:rPr>
        <w:t>项目</w:t>
      </w:r>
      <w:r>
        <w:rPr>
          <w:rFonts w:ascii="Times New Roman" w:hAnsi="Times New Roman" w:cs="Times New Roman"/>
        </w:rPr>
        <w:t>进行公开比选，欢迎供应商参加响应。</w:t>
      </w:r>
    </w:p>
    <w:p w14:paraId="1572A8F9">
      <w:pPr>
        <w:pStyle w:val="163"/>
        <w:rPr>
          <w:rFonts w:ascii="Times New Roman" w:hAnsi="Times New Roman"/>
        </w:rPr>
      </w:pPr>
      <w:r>
        <w:rPr>
          <w:rFonts w:ascii="Times New Roman" w:hAnsi="Times New Roman"/>
        </w:rPr>
        <w:t>一、公开比选内容</w:t>
      </w:r>
      <w:bookmarkEnd w:id="4"/>
      <w:bookmarkEnd w:id="5"/>
      <w:bookmarkEnd w:id="6"/>
      <w:bookmarkEnd w:id="7"/>
    </w:p>
    <w:tbl>
      <w:tblPr>
        <w:tblStyle w:val="57"/>
        <w:tblW w:w="43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5"/>
        <w:gridCol w:w="2192"/>
        <w:gridCol w:w="2692"/>
      </w:tblGrid>
      <w:tr w14:paraId="0383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873" w:type="pct"/>
            <w:tcBorders>
              <w:top w:val="single" w:color="auto" w:sz="4" w:space="0"/>
              <w:left w:val="single" w:color="auto" w:sz="4" w:space="0"/>
              <w:right w:val="single" w:color="auto" w:sz="4" w:space="0"/>
            </w:tcBorders>
            <w:vAlign w:val="center"/>
          </w:tcPr>
          <w:p w14:paraId="6AC908EF">
            <w:pPr>
              <w:widowControl/>
              <w:jc w:val="center"/>
              <w:rPr>
                <w:rFonts w:eastAsia="方正仿宋_GBK"/>
                <w:b/>
                <w:bCs/>
                <w:color w:val="000000"/>
                <w:kern w:val="0"/>
                <w:sz w:val="24"/>
                <w:szCs w:val="32"/>
              </w:rPr>
            </w:pPr>
            <w:r>
              <w:rPr>
                <w:rFonts w:eastAsia="方正仿宋_GBK"/>
                <w:b/>
                <w:bCs/>
                <w:color w:val="000000"/>
                <w:kern w:val="0"/>
                <w:sz w:val="24"/>
                <w:szCs w:val="32"/>
              </w:rPr>
              <w:t>名称</w:t>
            </w:r>
          </w:p>
        </w:tc>
        <w:tc>
          <w:tcPr>
            <w:tcW w:w="1403" w:type="pct"/>
            <w:tcBorders>
              <w:top w:val="single" w:color="auto" w:sz="4" w:space="0"/>
              <w:left w:val="single" w:color="auto" w:sz="4" w:space="0"/>
              <w:right w:val="single" w:color="auto" w:sz="4" w:space="0"/>
            </w:tcBorders>
            <w:vAlign w:val="center"/>
          </w:tcPr>
          <w:p w14:paraId="3D68A6AB">
            <w:pPr>
              <w:jc w:val="center"/>
              <w:rPr>
                <w:color w:val="000000"/>
                <w:sz w:val="36"/>
                <w:szCs w:val="22"/>
              </w:rPr>
            </w:pPr>
            <w:r>
              <w:rPr>
                <w:rFonts w:eastAsia="方正仿宋_GBK"/>
                <w:b/>
                <w:bCs/>
                <w:color w:val="000000"/>
                <w:kern w:val="0"/>
                <w:sz w:val="24"/>
                <w:szCs w:val="32"/>
              </w:rPr>
              <w:t>最高限价</w:t>
            </w:r>
            <w:r>
              <w:rPr>
                <w:rFonts w:hint="eastAsia" w:eastAsia="方正仿宋_GBK"/>
                <w:b/>
                <w:bCs/>
                <w:color w:val="000000"/>
                <w:kern w:val="0"/>
                <w:sz w:val="24"/>
                <w:szCs w:val="32"/>
              </w:rPr>
              <w:t>（万元）</w:t>
            </w:r>
          </w:p>
        </w:tc>
        <w:tc>
          <w:tcPr>
            <w:tcW w:w="1723" w:type="pct"/>
            <w:tcBorders>
              <w:top w:val="single" w:color="auto" w:sz="4" w:space="0"/>
              <w:left w:val="single" w:color="auto" w:sz="4" w:space="0"/>
              <w:right w:val="single" w:color="auto" w:sz="4" w:space="0"/>
            </w:tcBorders>
            <w:vAlign w:val="center"/>
          </w:tcPr>
          <w:p w14:paraId="72CED30C">
            <w:pPr>
              <w:jc w:val="center"/>
              <w:rPr>
                <w:rFonts w:eastAsia="方正仿宋_GBK"/>
                <w:b/>
                <w:bCs/>
                <w:color w:val="000000"/>
                <w:kern w:val="0"/>
                <w:sz w:val="24"/>
                <w:szCs w:val="32"/>
              </w:rPr>
            </w:pPr>
            <w:r>
              <w:rPr>
                <w:rFonts w:eastAsia="方正仿宋_GBK"/>
                <w:b/>
                <w:bCs/>
                <w:color w:val="000000"/>
                <w:kern w:val="0"/>
                <w:sz w:val="24"/>
                <w:szCs w:val="32"/>
              </w:rPr>
              <w:t>成交供应商数量（名）</w:t>
            </w:r>
          </w:p>
        </w:tc>
      </w:tr>
      <w:tr w14:paraId="428F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873" w:type="pct"/>
            <w:tcBorders>
              <w:top w:val="single" w:color="auto" w:sz="4" w:space="0"/>
              <w:left w:val="single" w:color="auto" w:sz="4" w:space="0"/>
              <w:bottom w:val="single" w:color="auto" w:sz="4" w:space="0"/>
              <w:right w:val="single" w:color="auto" w:sz="4" w:space="0"/>
            </w:tcBorders>
            <w:vAlign w:val="center"/>
          </w:tcPr>
          <w:p w14:paraId="630F62FD">
            <w:pPr>
              <w:jc w:val="center"/>
              <w:rPr>
                <w:rFonts w:eastAsia="方正仿宋_GBK"/>
                <w:sz w:val="24"/>
                <w:szCs w:val="24"/>
              </w:rPr>
            </w:pPr>
            <w:r>
              <w:rPr>
                <w:rFonts w:eastAsia="方正仿宋_GBK"/>
                <w:sz w:val="24"/>
                <w:szCs w:val="24"/>
              </w:rPr>
              <w:t>统一运维监控管理平台</w:t>
            </w:r>
          </w:p>
        </w:tc>
        <w:tc>
          <w:tcPr>
            <w:tcW w:w="1403" w:type="pct"/>
            <w:tcBorders>
              <w:top w:val="single" w:color="auto" w:sz="4" w:space="0"/>
              <w:left w:val="single" w:color="auto" w:sz="4" w:space="0"/>
              <w:right w:val="single" w:color="auto" w:sz="4" w:space="0"/>
            </w:tcBorders>
            <w:vAlign w:val="center"/>
          </w:tcPr>
          <w:p w14:paraId="60557127">
            <w:pPr>
              <w:jc w:val="center"/>
              <w:rPr>
                <w:rFonts w:eastAsia="方正仿宋_GBK"/>
                <w:sz w:val="24"/>
                <w:szCs w:val="24"/>
              </w:rPr>
            </w:pPr>
            <w:r>
              <w:rPr>
                <w:rFonts w:hint="eastAsia" w:eastAsia="方正仿宋_GBK"/>
                <w:sz w:val="24"/>
                <w:szCs w:val="24"/>
              </w:rPr>
              <w:t>46</w:t>
            </w:r>
          </w:p>
        </w:tc>
        <w:tc>
          <w:tcPr>
            <w:tcW w:w="1723" w:type="pct"/>
            <w:tcBorders>
              <w:top w:val="single" w:color="auto" w:sz="4" w:space="0"/>
              <w:left w:val="single" w:color="auto" w:sz="4" w:space="0"/>
              <w:right w:val="single" w:color="auto" w:sz="4" w:space="0"/>
            </w:tcBorders>
            <w:vAlign w:val="center"/>
          </w:tcPr>
          <w:p w14:paraId="48E2DEED">
            <w:pPr>
              <w:jc w:val="center"/>
              <w:rPr>
                <w:rFonts w:eastAsia="方正仿宋_GBK"/>
                <w:sz w:val="24"/>
                <w:szCs w:val="24"/>
              </w:rPr>
            </w:pPr>
            <w:r>
              <w:rPr>
                <w:rFonts w:eastAsia="方正仿宋_GBK"/>
                <w:sz w:val="24"/>
                <w:szCs w:val="24"/>
              </w:rPr>
              <w:t>1</w:t>
            </w:r>
          </w:p>
        </w:tc>
      </w:tr>
    </w:tbl>
    <w:p w14:paraId="048B34DF">
      <w:pPr>
        <w:pStyle w:val="163"/>
        <w:rPr>
          <w:rFonts w:ascii="Times New Roman" w:hAnsi="Times New Roman"/>
        </w:rPr>
      </w:pPr>
      <w:bookmarkStart w:id="8" w:name="_Toc76462318"/>
      <w:bookmarkStart w:id="9" w:name="_Toc106030872"/>
      <w:bookmarkStart w:id="10" w:name="_Toc373860293"/>
      <w:bookmarkStart w:id="11" w:name="_Toc317775178"/>
      <w:r>
        <w:rPr>
          <w:rFonts w:ascii="Times New Roman" w:hAnsi="Times New Roman"/>
        </w:rPr>
        <w:t>二、资金来源</w:t>
      </w:r>
      <w:bookmarkEnd w:id="8"/>
      <w:bookmarkEnd w:id="9"/>
    </w:p>
    <w:p w14:paraId="6B77FD04">
      <w:pPr>
        <w:pStyle w:val="163"/>
        <w:ind w:firstLine="480"/>
        <w:rPr>
          <w:rFonts w:ascii="Times New Roman" w:hAnsi="Times New Roman"/>
          <w:b w:val="0"/>
          <w:szCs w:val="24"/>
        </w:rPr>
      </w:pPr>
      <w:bookmarkStart w:id="12" w:name="_Toc76462319"/>
      <w:bookmarkStart w:id="13" w:name="_Toc106030873"/>
      <w:r>
        <w:rPr>
          <w:rFonts w:hint="eastAsia" w:ascii="Times New Roman" w:hAnsi="Times New Roman"/>
          <w:b w:val="0"/>
          <w:szCs w:val="24"/>
        </w:rPr>
        <w:t>财政资金。</w:t>
      </w:r>
    </w:p>
    <w:p w14:paraId="75327085">
      <w:pPr>
        <w:pStyle w:val="163"/>
        <w:rPr>
          <w:rFonts w:ascii="Times New Roman" w:hAnsi="Times New Roman"/>
        </w:rPr>
      </w:pPr>
      <w:r>
        <w:rPr>
          <w:rFonts w:ascii="Times New Roman" w:hAnsi="Times New Roman"/>
        </w:rPr>
        <w:t>三、供应商资格条件</w:t>
      </w:r>
      <w:bookmarkEnd w:id="12"/>
      <w:bookmarkEnd w:id="13"/>
    </w:p>
    <w:p w14:paraId="2B139814">
      <w:pPr>
        <w:pStyle w:val="77"/>
        <w:rPr>
          <w:rFonts w:ascii="Times New Roman" w:hAnsi="Times New Roman" w:cs="Times New Roman"/>
        </w:rPr>
      </w:pPr>
      <w:r>
        <w:rPr>
          <w:rFonts w:ascii="Times New Roman" w:hAnsi="Times New Roman" w:cs="Times New Roman"/>
        </w:rPr>
        <w:t>合格供应商应首先符合政府采购法第二十二条规定的基本条件，同时符合根据该项目特点设置的特定资格条件。</w:t>
      </w:r>
    </w:p>
    <w:p w14:paraId="29BDF130">
      <w:pPr>
        <w:pStyle w:val="77"/>
        <w:rPr>
          <w:rFonts w:ascii="Times New Roman" w:hAnsi="Times New Roman" w:cs="Times New Roman"/>
        </w:rPr>
      </w:pPr>
      <w:r>
        <w:rPr>
          <w:rFonts w:ascii="Times New Roman" w:hAnsi="Times New Roman" w:cs="Times New Roman"/>
        </w:rPr>
        <w:t>（一）满足《中华人民共和国政府采购法》第二十二条规定；</w:t>
      </w:r>
    </w:p>
    <w:p w14:paraId="76DA8192">
      <w:pPr>
        <w:pStyle w:val="77"/>
        <w:rPr>
          <w:rFonts w:ascii="Times New Roman" w:hAnsi="Times New Roman" w:cs="Times New Roman"/>
        </w:rPr>
      </w:pPr>
      <w:r>
        <w:rPr>
          <w:rFonts w:ascii="Times New Roman" w:hAnsi="Times New Roman" w:cs="Times New Roman"/>
        </w:rPr>
        <w:t>（二）本项目的特定资格要求：</w:t>
      </w:r>
      <w:r>
        <w:rPr>
          <w:rFonts w:hint="eastAsia" w:ascii="Times New Roman" w:hAnsi="Times New Roman" w:cs="Times New Roman"/>
        </w:rPr>
        <w:t>无</w:t>
      </w:r>
      <w:r>
        <w:rPr>
          <w:rFonts w:ascii="Times New Roman" w:hAnsi="Times New Roman" w:cs="Times New Roman"/>
        </w:rPr>
        <w:t>。</w:t>
      </w:r>
    </w:p>
    <w:p w14:paraId="37A9B4A7">
      <w:pPr>
        <w:pStyle w:val="163"/>
        <w:rPr>
          <w:rFonts w:ascii="Times New Roman" w:hAnsi="Times New Roman"/>
        </w:rPr>
      </w:pPr>
      <w:bookmarkStart w:id="14" w:name="_Toc106030874"/>
      <w:bookmarkStart w:id="15" w:name="_Toc76462320"/>
      <w:r>
        <w:rPr>
          <w:rFonts w:ascii="Times New Roman" w:hAnsi="Times New Roman"/>
        </w:rPr>
        <w:t>四、比选有关说明</w:t>
      </w:r>
      <w:bookmarkEnd w:id="10"/>
      <w:bookmarkEnd w:id="14"/>
      <w:bookmarkEnd w:id="15"/>
    </w:p>
    <w:p w14:paraId="048432D4">
      <w:pPr>
        <w:pStyle w:val="77"/>
        <w:rPr>
          <w:rFonts w:ascii="Times New Roman" w:hAnsi="Times New Roman" w:cs="Times New Roman"/>
        </w:rPr>
      </w:pPr>
      <w:r>
        <w:rPr>
          <w:rFonts w:ascii="Times New Roman" w:hAnsi="Times New Roman" w:cs="Times New Roman"/>
        </w:rPr>
        <w:t>（一）凡有意参加比选的供应商，请在重庆市红十字会医院官网https://www.cqshszhyy.cn/上下载本项目公开比选文件、澄清等比选前公布的所有项目资料，无论供应商下载与否，均视为已知晓所有比选实质性要求内容。</w:t>
      </w:r>
    </w:p>
    <w:p w14:paraId="5E9E9F6B">
      <w:pPr>
        <w:pStyle w:val="77"/>
        <w:rPr>
          <w:rFonts w:ascii="Times New Roman" w:hAnsi="Times New Roman" w:cs="Times New Roman"/>
        </w:rPr>
      </w:pPr>
      <w:r>
        <w:rPr>
          <w:rFonts w:ascii="Times New Roman" w:hAnsi="Times New Roman" w:cs="Times New Roman"/>
        </w:rPr>
        <w:t>（二）公开比选公告期限：自采购公告发布之日起</w:t>
      </w:r>
      <w:r>
        <w:rPr>
          <w:rFonts w:hint="eastAsia" w:ascii="Times New Roman" w:hAnsi="Times New Roman" w:cs="Times New Roman"/>
        </w:rPr>
        <w:t>三</w:t>
      </w:r>
      <w:r>
        <w:rPr>
          <w:rFonts w:ascii="Times New Roman" w:hAnsi="Times New Roman" w:cs="Times New Roman"/>
        </w:rPr>
        <w:t>个工作日。</w:t>
      </w:r>
    </w:p>
    <w:p w14:paraId="0656B2C0">
      <w:pPr>
        <w:pStyle w:val="77"/>
        <w:rPr>
          <w:rFonts w:ascii="Times New Roman" w:hAnsi="Times New Roman" w:cs="Times New Roman"/>
        </w:rPr>
      </w:pPr>
      <w:r>
        <w:rPr>
          <w:rFonts w:ascii="Times New Roman" w:hAnsi="Times New Roman" w:cs="Times New Roman"/>
        </w:rPr>
        <w:t>（三）公开比选文件提供期限：同采购公告期限。</w:t>
      </w:r>
    </w:p>
    <w:p w14:paraId="47143249">
      <w:pPr>
        <w:pStyle w:val="77"/>
        <w:rPr>
          <w:rFonts w:ascii="Times New Roman" w:hAnsi="Times New Roman" w:cs="Times New Roman"/>
        </w:rPr>
      </w:pPr>
      <w:r>
        <w:rPr>
          <w:rFonts w:ascii="Times New Roman" w:hAnsi="Times New Roman" w:cs="Times New Roman"/>
        </w:rPr>
        <w:t>（四）递交响应文件地点：重庆市红十字会医院</w:t>
      </w:r>
      <w:r>
        <w:rPr>
          <w:rFonts w:hint="eastAsia" w:ascii="Times New Roman" w:hAnsi="Times New Roman" w:cs="Times New Roman"/>
        </w:rPr>
        <w:t>8</w:t>
      </w:r>
      <w:r>
        <w:rPr>
          <w:rFonts w:ascii="Times New Roman" w:hAnsi="Times New Roman" w:cs="Times New Roman"/>
        </w:rPr>
        <w:t>号楼</w:t>
      </w:r>
      <w:r>
        <w:rPr>
          <w:rFonts w:hint="eastAsia" w:ascii="Times New Roman" w:hAnsi="Times New Roman" w:cs="Times New Roman"/>
        </w:rPr>
        <w:t>8楼</w:t>
      </w:r>
      <w:r>
        <w:rPr>
          <w:rFonts w:ascii="Times New Roman" w:hAnsi="Times New Roman" w:cs="Times New Roman"/>
        </w:rPr>
        <w:t>会议室。</w:t>
      </w:r>
    </w:p>
    <w:p w14:paraId="6CD9FFBF">
      <w:pPr>
        <w:pStyle w:val="77"/>
        <w:rPr>
          <w:rFonts w:ascii="Times New Roman" w:hAnsi="Times New Roman" w:cs="Times New Roman"/>
        </w:rPr>
      </w:pPr>
      <w:r>
        <w:rPr>
          <w:rFonts w:ascii="Times New Roman" w:hAnsi="Times New Roman" w:cs="Times New Roman"/>
        </w:rPr>
        <w:t>（五）递交响应文件开始及截止时间：202</w:t>
      </w:r>
      <w:r>
        <w:rPr>
          <w:rFonts w:hint="eastAsia" w:ascii="Times New Roman" w:hAnsi="Times New Roman" w:cs="Times New Roman"/>
        </w:rPr>
        <w:t>6</w:t>
      </w:r>
      <w:r>
        <w:rPr>
          <w:rFonts w:ascii="Times New Roman" w:hAnsi="Times New Roman" w:cs="Times New Roman"/>
        </w:rPr>
        <w:t>年</w:t>
      </w:r>
      <w:r>
        <w:rPr>
          <w:rFonts w:hint="eastAsia" w:ascii="Times New Roman" w:hAnsi="Times New Roman" w:cs="Times New Roman"/>
          <w:lang w:val="en-US" w:eastAsia="zh-CN"/>
        </w:rPr>
        <w:t>11</w:t>
      </w:r>
      <w:r>
        <w:rPr>
          <w:rFonts w:ascii="Times New Roman" w:hAnsi="Times New Roman" w:cs="Times New Roman"/>
        </w:rPr>
        <w:t>月</w:t>
      </w:r>
      <w:r>
        <w:rPr>
          <w:rFonts w:hint="eastAsia" w:ascii="Times New Roman" w:hAnsi="Times New Roman" w:cs="Times New Roman"/>
          <w:lang w:val="en-US" w:eastAsia="zh-CN"/>
        </w:rPr>
        <w:t>9</w:t>
      </w:r>
      <w:r>
        <w:rPr>
          <w:rFonts w:ascii="Times New Roman" w:hAnsi="Times New Roman" w:cs="Times New Roman"/>
        </w:rPr>
        <w:t>日 北京时间</w:t>
      </w:r>
      <w:r>
        <w:rPr>
          <w:rFonts w:hint="eastAsia" w:ascii="Times New Roman" w:hAnsi="Times New Roman" w:cs="Times New Roman"/>
          <w:lang w:val="en-US" w:eastAsia="zh-CN"/>
        </w:rPr>
        <w:t>8</w:t>
      </w:r>
      <w:r>
        <w:rPr>
          <w:rFonts w:ascii="Times New Roman" w:hAnsi="Times New Roman" w:cs="Times New Roman"/>
        </w:rPr>
        <w:t>:</w:t>
      </w:r>
      <w:r>
        <w:rPr>
          <w:rFonts w:hint="eastAsia" w:ascii="Times New Roman" w:hAnsi="Times New Roman" w:cs="Times New Roman"/>
          <w:lang w:val="en-US" w:eastAsia="zh-CN"/>
        </w:rPr>
        <w:t>4</w:t>
      </w:r>
      <w:r>
        <w:rPr>
          <w:rFonts w:hint="eastAsia" w:ascii="Times New Roman" w:hAnsi="Times New Roman" w:cs="Times New Roman"/>
        </w:rPr>
        <w:t>0</w:t>
      </w:r>
      <w:r>
        <w:rPr>
          <w:rFonts w:ascii="Times New Roman" w:hAnsi="Times New Roman" w:cs="Times New Roman"/>
        </w:rPr>
        <w:t>-</w:t>
      </w:r>
      <w:r>
        <w:rPr>
          <w:rFonts w:hint="eastAsia" w:ascii="Times New Roman" w:hAnsi="Times New Roman" w:cs="Times New Roman"/>
          <w:lang w:val="en-US" w:eastAsia="zh-CN"/>
        </w:rPr>
        <w:t>9</w:t>
      </w:r>
      <w:r>
        <w:rPr>
          <w:rFonts w:ascii="Times New Roman" w:hAnsi="Times New Roman" w:cs="Times New Roman"/>
        </w:rPr>
        <w:t>:</w:t>
      </w:r>
      <w:r>
        <w:rPr>
          <w:rFonts w:hint="eastAsia" w:ascii="Times New Roman" w:hAnsi="Times New Roman" w:cs="Times New Roman"/>
          <w:lang w:val="en-US" w:eastAsia="zh-CN"/>
        </w:rPr>
        <w:t>0</w:t>
      </w:r>
      <w:r>
        <w:rPr>
          <w:rFonts w:ascii="Times New Roman" w:hAnsi="Times New Roman" w:cs="Times New Roman"/>
        </w:rPr>
        <w:t>0（其他时间不接受任何形式的送达）。</w:t>
      </w:r>
    </w:p>
    <w:p w14:paraId="02352B71">
      <w:pPr>
        <w:pStyle w:val="77"/>
        <w:rPr>
          <w:rFonts w:hint="default" w:ascii="Times New Roman" w:hAnsi="Times New Roman" w:eastAsia="方正仿宋_GBK" w:cs="Times New Roman"/>
          <w:lang w:val="en-US" w:eastAsia="zh-CN"/>
        </w:rPr>
      </w:pPr>
      <w:r>
        <w:rPr>
          <w:rFonts w:ascii="Times New Roman" w:hAnsi="Times New Roman" w:cs="Times New Roman"/>
        </w:rPr>
        <w:t>（六）比选开始时间：202</w:t>
      </w:r>
      <w:r>
        <w:rPr>
          <w:rFonts w:hint="eastAsia" w:ascii="Times New Roman" w:hAnsi="Times New Roman" w:cs="Times New Roman"/>
        </w:rPr>
        <w:t>6</w:t>
      </w:r>
      <w:r>
        <w:rPr>
          <w:rFonts w:ascii="Times New Roman" w:hAnsi="Times New Roman" w:cs="Times New Roman"/>
        </w:rPr>
        <w:t>年</w:t>
      </w:r>
      <w:r>
        <w:rPr>
          <w:rFonts w:hint="eastAsia" w:ascii="Times New Roman" w:hAnsi="Times New Roman" w:cs="Times New Roman"/>
          <w:lang w:val="en-US" w:eastAsia="zh-CN"/>
        </w:rPr>
        <w:t>11</w:t>
      </w:r>
      <w:r>
        <w:rPr>
          <w:rFonts w:ascii="Times New Roman" w:hAnsi="Times New Roman" w:cs="Times New Roman"/>
        </w:rPr>
        <w:t>月</w:t>
      </w:r>
      <w:r>
        <w:rPr>
          <w:rFonts w:hint="eastAsia" w:ascii="Times New Roman" w:hAnsi="Times New Roman" w:cs="Times New Roman"/>
          <w:lang w:val="en-US" w:eastAsia="zh-CN"/>
        </w:rPr>
        <w:t>9</w:t>
      </w:r>
      <w:r>
        <w:rPr>
          <w:rFonts w:ascii="Times New Roman" w:hAnsi="Times New Roman" w:cs="Times New Roman"/>
        </w:rPr>
        <w:t>日北京时间</w:t>
      </w:r>
      <w:r>
        <w:rPr>
          <w:rFonts w:hint="eastAsia" w:ascii="Times New Roman" w:hAnsi="Times New Roman" w:cs="Times New Roman"/>
          <w:lang w:val="en-US" w:eastAsia="zh-CN"/>
        </w:rPr>
        <w:t>9</w:t>
      </w:r>
      <w:r>
        <w:rPr>
          <w:rFonts w:ascii="Times New Roman" w:hAnsi="Times New Roman" w:cs="Times New Roman"/>
        </w:rPr>
        <w:t>:</w:t>
      </w:r>
      <w:r>
        <w:rPr>
          <w:rFonts w:hint="eastAsia" w:ascii="Times New Roman" w:hAnsi="Times New Roman" w:cs="Times New Roman"/>
          <w:lang w:val="en-US" w:eastAsia="zh-CN"/>
        </w:rPr>
        <w:t>00</w:t>
      </w:r>
      <w:bookmarkStart w:id="108" w:name="_GoBack"/>
      <w:bookmarkEnd w:id="108"/>
    </w:p>
    <w:p w14:paraId="4CD034A3">
      <w:pPr>
        <w:pStyle w:val="77"/>
        <w:rPr>
          <w:rFonts w:ascii="Times New Roman" w:hAnsi="Times New Roman" w:cs="Times New Roman"/>
        </w:rPr>
      </w:pPr>
      <w:r>
        <w:rPr>
          <w:rFonts w:ascii="Times New Roman" w:hAnsi="Times New Roman" w:cs="Times New Roman"/>
        </w:rPr>
        <w:t>（七）比选地点：同递交响应文件地点。</w:t>
      </w:r>
    </w:p>
    <w:p w14:paraId="6A803FF5">
      <w:pPr>
        <w:pStyle w:val="77"/>
        <w:ind w:firstLine="482"/>
        <w:rPr>
          <w:rFonts w:ascii="Times New Roman" w:hAnsi="Times New Roman" w:cs="Times New Roman"/>
        </w:rPr>
      </w:pPr>
      <w:r>
        <w:rPr>
          <w:rFonts w:hint="eastAsia" w:ascii="Times New Roman" w:hAnsi="Times New Roman" w:cs="Times New Roman"/>
          <w:b/>
          <w:bCs/>
        </w:rPr>
        <w:t>（八）</w:t>
      </w:r>
      <w:r>
        <w:rPr>
          <w:rFonts w:ascii="Times New Roman" w:hAnsi="Times New Roman" w:cs="Times New Roman"/>
          <w:b/>
          <w:bCs/>
        </w:rPr>
        <w:t>响应文件一式</w:t>
      </w:r>
      <w:r>
        <w:rPr>
          <w:rFonts w:hint="eastAsia" w:ascii="Times New Roman" w:hAnsi="Times New Roman" w:cs="Times New Roman"/>
          <w:b/>
          <w:bCs/>
        </w:rPr>
        <w:t>三</w:t>
      </w:r>
      <w:r>
        <w:rPr>
          <w:rFonts w:ascii="Times New Roman" w:hAnsi="Times New Roman" w:cs="Times New Roman"/>
          <w:b/>
          <w:bCs/>
        </w:rPr>
        <w:t>份，其中</w:t>
      </w:r>
      <w:r>
        <w:rPr>
          <w:rFonts w:ascii="Times New Roman" w:hAnsi="Times New Roman" w:cs="Times New Roman"/>
          <w:b/>
          <w:bCs/>
          <w:u w:val="single"/>
        </w:rPr>
        <w:t>正本一份</w:t>
      </w:r>
      <w:r>
        <w:rPr>
          <w:rFonts w:ascii="Times New Roman" w:hAnsi="Times New Roman" w:cs="Times New Roman"/>
          <w:b/>
          <w:bCs/>
        </w:rPr>
        <w:t>，</w:t>
      </w:r>
      <w:r>
        <w:rPr>
          <w:rFonts w:ascii="Times New Roman" w:hAnsi="Times New Roman" w:cs="Times New Roman"/>
          <w:b/>
          <w:bCs/>
          <w:u w:val="single"/>
        </w:rPr>
        <w:t>副本一份</w:t>
      </w:r>
      <w:r>
        <w:rPr>
          <w:rFonts w:ascii="Times New Roman" w:hAnsi="Times New Roman" w:cs="Times New Roman"/>
          <w:b/>
          <w:bCs/>
        </w:rPr>
        <w:t>，</w:t>
      </w:r>
      <w:r>
        <w:rPr>
          <w:rFonts w:ascii="Times New Roman" w:hAnsi="Times New Roman" w:cs="Times New Roman"/>
          <w:b/>
          <w:bCs/>
          <w:u w:val="single"/>
        </w:rPr>
        <w:t>电子版形式</w:t>
      </w:r>
      <w:r>
        <w:rPr>
          <w:rFonts w:hint="eastAsia" w:ascii="Times New Roman" w:hAnsi="Times New Roman" w:cs="Times New Roman"/>
          <w:b/>
          <w:bCs/>
          <w:u w:val="single"/>
        </w:rPr>
        <w:t>一</w:t>
      </w:r>
      <w:r>
        <w:rPr>
          <w:rFonts w:ascii="Times New Roman" w:hAnsi="Times New Roman" w:cs="Times New Roman"/>
          <w:b/>
          <w:bCs/>
          <w:u w:val="single"/>
        </w:rPr>
        <w:t>份</w:t>
      </w:r>
      <w:r>
        <w:rPr>
          <w:rFonts w:hint="eastAsia" w:ascii="Times New Roman" w:hAnsi="Times New Roman" w:cs="Times New Roman"/>
          <w:b/>
          <w:bCs/>
        </w:rPr>
        <w:t>，</w:t>
      </w:r>
      <w:r>
        <w:rPr>
          <w:rFonts w:ascii="Times New Roman" w:hAnsi="Times New Roman" w:cs="Times New Roman"/>
          <w:b/>
          <w:bCs/>
        </w:rPr>
        <w:t>每套纸质响应文件须在封面清楚地标明“正本”、“副本”；副本可为正本的复印件，应与正本一致，如出现不一致情况以正本为准</w:t>
      </w:r>
      <w:r>
        <w:rPr>
          <w:rFonts w:hint="eastAsia" w:ascii="Times New Roman" w:hAnsi="Times New Roman" w:cs="Times New Roman"/>
          <w:b/>
          <w:bCs/>
        </w:rPr>
        <w:t>，</w:t>
      </w:r>
      <w:r>
        <w:rPr>
          <w:rFonts w:ascii="Times New Roman" w:hAnsi="Times New Roman" w:cs="Times New Roman"/>
          <w:b/>
          <w:bCs/>
        </w:rPr>
        <w:t>电子文档内容包括竞选文件的 Word版及纸质正本扫描后的 PDF版，Word 文本、PDF 文本应与纸质文件正本一致，否则，评审小组将认定为符合性审查不通过，属无效响应。</w:t>
      </w:r>
    </w:p>
    <w:bookmarkEnd w:id="11"/>
    <w:p w14:paraId="55229CAE">
      <w:pPr>
        <w:pStyle w:val="163"/>
        <w:rPr>
          <w:rFonts w:ascii="Times New Roman" w:hAnsi="Times New Roman"/>
        </w:rPr>
      </w:pPr>
      <w:bookmarkStart w:id="16" w:name="_Toc106030876"/>
      <w:bookmarkStart w:id="17" w:name="_Toc480466699"/>
      <w:bookmarkStart w:id="18" w:name="_Toc76462322"/>
      <w:r>
        <w:rPr>
          <w:rFonts w:ascii="Times New Roman" w:hAnsi="Times New Roman"/>
        </w:rPr>
        <w:t>五、其它有关规定</w:t>
      </w:r>
      <w:bookmarkEnd w:id="16"/>
      <w:bookmarkEnd w:id="17"/>
      <w:bookmarkEnd w:id="18"/>
    </w:p>
    <w:p w14:paraId="2BE190A9">
      <w:pPr>
        <w:pStyle w:val="77"/>
        <w:rPr>
          <w:rFonts w:ascii="Times New Roman" w:hAnsi="Times New Roman" w:cs="Times New Roman"/>
        </w:rPr>
      </w:pPr>
      <w:r>
        <w:rPr>
          <w:rFonts w:ascii="Times New Roman" w:hAnsi="Times New Roman" w:cs="Times New Roman"/>
        </w:rPr>
        <w:t>（一）单位负责人为同一人或者存在直接控股、管理关系的不同供应商，不得参加同一合同项（包）下的采购活动，否则均为无效响应。</w:t>
      </w:r>
    </w:p>
    <w:p w14:paraId="077767E2">
      <w:pPr>
        <w:pStyle w:val="77"/>
        <w:rPr>
          <w:rFonts w:ascii="Times New Roman" w:hAnsi="Times New Roman" w:cs="Times New Roman"/>
        </w:rPr>
      </w:pPr>
      <w:r>
        <w:rPr>
          <w:rFonts w:ascii="Times New Roman" w:hAnsi="Times New Roman" w:cs="Times New Roman"/>
        </w:rPr>
        <w:t>（二）为采购项目提供整体设计、规范编制或者项目管理、监理、检测等服务的供应商，不得再参加该采购项目的其他采购活动。</w:t>
      </w:r>
    </w:p>
    <w:p w14:paraId="0AD8FD55">
      <w:pPr>
        <w:pStyle w:val="77"/>
        <w:rPr>
          <w:rFonts w:ascii="Times New Roman" w:hAnsi="Times New Roman" w:cs="Times New Roman"/>
        </w:rPr>
      </w:pPr>
      <w:r>
        <w:rPr>
          <w:rFonts w:ascii="Times New Roman" w:hAnsi="Times New Roman" w:cs="Times New Roman"/>
        </w:rPr>
        <w:t>（三）本项目的澄清文件（如果有）一律在重庆市红十字会医院官网https://www.cqshszhyy.cn/上发布，请各供应商注意下载；无论供应商下载或领取与否，均视同供应商已知晓本项目澄清文件（如果有）的内容。</w:t>
      </w:r>
    </w:p>
    <w:p w14:paraId="417B4A25">
      <w:pPr>
        <w:pStyle w:val="77"/>
        <w:rPr>
          <w:rFonts w:ascii="Times New Roman" w:hAnsi="Times New Roman" w:cs="Times New Roman"/>
        </w:rPr>
      </w:pPr>
      <w:r>
        <w:rPr>
          <w:rFonts w:ascii="Times New Roman" w:hAnsi="Times New Roman" w:cs="Times New Roman"/>
        </w:rPr>
        <w:t>（四）超过响应文件截止时间递交的响应文件，恕不接收。</w:t>
      </w:r>
    </w:p>
    <w:p w14:paraId="31D843FC">
      <w:pPr>
        <w:pStyle w:val="77"/>
        <w:rPr>
          <w:rFonts w:ascii="Times New Roman" w:hAnsi="Times New Roman" w:cs="Times New Roman"/>
        </w:rPr>
      </w:pPr>
      <w:r>
        <w:rPr>
          <w:rFonts w:ascii="Times New Roman" w:hAnsi="Times New Roman" w:cs="Times New Roman"/>
        </w:rPr>
        <w:t>（五）比选费用：无论比选结果如何，供应商参与本项目比选的所有费用均应由供应商自行承担。</w:t>
      </w:r>
    </w:p>
    <w:p w14:paraId="50B4EC85">
      <w:pPr>
        <w:pStyle w:val="77"/>
        <w:rPr>
          <w:rFonts w:ascii="Times New Roman" w:hAnsi="Times New Roman" w:cs="Times New Roman"/>
        </w:rPr>
      </w:pPr>
      <w:r>
        <w:rPr>
          <w:rFonts w:ascii="Times New Roman" w:hAnsi="Times New Roman" w:cs="Times New Roman"/>
        </w:rPr>
        <w:t>（六）本项目不接受联合体参与比选，否则按无效处理。</w:t>
      </w:r>
    </w:p>
    <w:p w14:paraId="47E27937">
      <w:pPr>
        <w:pStyle w:val="77"/>
        <w:rPr>
          <w:rFonts w:ascii="Times New Roman" w:hAnsi="Times New Roman" w:cs="Times New Roman"/>
        </w:rPr>
      </w:pPr>
      <w:r>
        <w:rPr>
          <w:rFonts w:ascii="Times New Roman" w:hAnsi="Times New Roman" w:cs="Times New Roman"/>
        </w:rPr>
        <w:t>（七）本项目不接受合同分包，否则按无效处理。</w:t>
      </w:r>
    </w:p>
    <w:p w14:paraId="56511715">
      <w:pPr>
        <w:pStyle w:val="77"/>
        <w:rPr>
          <w:rFonts w:ascii="Times New Roman" w:hAnsi="Times New Roman" w:cs="Times New Roman"/>
        </w:rPr>
      </w:pPr>
      <w:r>
        <w:rPr>
          <w:rFonts w:ascii="Times New Roman" w:hAnsi="Times New Roman" w:cs="Times New Roman"/>
        </w:rPr>
        <w:t>（八）</w:t>
      </w:r>
      <w:bookmarkStart w:id="19" w:name="_Toc480466700"/>
      <w:r>
        <w:rPr>
          <w:rFonts w:ascii="Times New Roman" w:hAnsi="Times New Roman" w:cs="Times New Roman"/>
        </w:rPr>
        <w:t>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采购活动。</w:t>
      </w:r>
    </w:p>
    <w:p w14:paraId="7FEF743D">
      <w:pPr>
        <w:pStyle w:val="163"/>
        <w:rPr>
          <w:rFonts w:ascii="Times New Roman" w:hAnsi="Times New Roman"/>
        </w:rPr>
      </w:pPr>
      <w:bookmarkStart w:id="20" w:name="_Toc76462323"/>
      <w:bookmarkStart w:id="21" w:name="_Toc106030877"/>
      <w:r>
        <w:rPr>
          <w:rFonts w:hint="eastAsia" w:ascii="Times New Roman" w:hAnsi="Times New Roman"/>
        </w:rPr>
        <w:t>七</w:t>
      </w:r>
      <w:r>
        <w:rPr>
          <w:rFonts w:ascii="Times New Roman" w:hAnsi="Times New Roman"/>
        </w:rPr>
        <w:t>、联系方式</w:t>
      </w:r>
      <w:bookmarkEnd w:id="19"/>
      <w:bookmarkEnd w:id="20"/>
      <w:bookmarkEnd w:id="21"/>
    </w:p>
    <w:p w14:paraId="204B52C8">
      <w:pPr>
        <w:snapToGrid w:val="0"/>
        <w:spacing w:line="400" w:lineRule="exact"/>
        <w:ind w:firstLine="480" w:firstLineChars="200"/>
        <w:rPr>
          <w:rFonts w:eastAsia="方正仿宋_GBK"/>
          <w:sz w:val="24"/>
          <w:szCs w:val="24"/>
        </w:rPr>
      </w:pPr>
      <w:r>
        <w:rPr>
          <w:rFonts w:eastAsia="方正仿宋_GBK"/>
          <w:sz w:val="24"/>
          <w:szCs w:val="24"/>
        </w:rPr>
        <w:t>采购人：重庆市红十字会医院</w:t>
      </w:r>
    </w:p>
    <w:p w14:paraId="04B377A2">
      <w:pPr>
        <w:snapToGrid w:val="0"/>
        <w:spacing w:line="400" w:lineRule="exact"/>
        <w:ind w:firstLine="480" w:firstLineChars="200"/>
        <w:rPr>
          <w:rFonts w:eastAsia="方正仿宋_GBK"/>
          <w:sz w:val="24"/>
          <w:szCs w:val="24"/>
        </w:rPr>
      </w:pPr>
      <w:r>
        <w:rPr>
          <w:rFonts w:eastAsia="方正仿宋_GBK"/>
          <w:sz w:val="24"/>
          <w:szCs w:val="24"/>
        </w:rPr>
        <w:t>采购联系人：</w:t>
      </w:r>
      <w:r>
        <w:rPr>
          <w:rFonts w:hint="eastAsia" w:eastAsia="方正仿宋_GBK"/>
          <w:sz w:val="24"/>
          <w:szCs w:val="24"/>
        </w:rPr>
        <w:t>徐</w:t>
      </w:r>
      <w:r>
        <w:rPr>
          <w:rFonts w:eastAsia="方正仿宋_GBK"/>
          <w:sz w:val="24"/>
          <w:szCs w:val="24"/>
        </w:rPr>
        <w:t>老师        电  话：023-88516648</w:t>
      </w:r>
    </w:p>
    <w:p w14:paraId="7401456F">
      <w:pPr>
        <w:snapToGrid w:val="0"/>
        <w:spacing w:line="400" w:lineRule="exact"/>
        <w:ind w:firstLine="480" w:firstLineChars="200"/>
        <w:rPr>
          <w:rFonts w:eastAsia="方正仿宋_GBK"/>
          <w:sz w:val="24"/>
          <w:szCs w:val="24"/>
        </w:rPr>
      </w:pPr>
      <w:r>
        <w:rPr>
          <w:rFonts w:eastAsia="方正仿宋_GBK"/>
          <w:sz w:val="24"/>
          <w:szCs w:val="24"/>
        </w:rPr>
        <w:t>技术联系人：</w:t>
      </w:r>
      <w:r>
        <w:rPr>
          <w:rFonts w:hint="eastAsia" w:eastAsia="方正仿宋_GBK"/>
          <w:sz w:val="24"/>
          <w:szCs w:val="24"/>
        </w:rPr>
        <w:t>周</w:t>
      </w:r>
      <w:r>
        <w:rPr>
          <w:rFonts w:eastAsia="方正仿宋_GBK"/>
          <w:sz w:val="24"/>
          <w:szCs w:val="24"/>
        </w:rPr>
        <w:t>老师        电  话：023-</w:t>
      </w:r>
      <w:r>
        <w:rPr>
          <w:rFonts w:hint="eastAsia" w:eastAsia="方正仿宋_GBK"/>
          <w:sz w:val="24"/>
          <w:szCs w:val="24"/>
        </w:rPr>
        <w:t>88519014</w:t>
      </w:r>
    </w:p>
    <w:p w14:paraId="6FD1AD61">
      <w:pPr>
        <w:snapToGrid w:val="0"/>
        <w:spacing w:line="400" w:lineRule="exact"/>
        <w:ind w:firstLine="480" w:firstLineChars="200"/>
        <w:rPr>
          <w:b/>
          <w:sz w:val="24"/>
          <w:szCs w:val="24"/>
        </w:rPr>
        <w:sectPr>
          <w:headerReference r:id="rId4" w:type="default"/>
          <w:footerReference r:id="rId5" w:type="default"/>
          <w:pgSz w:w="11907" w:h="16840"/>
          <w:pgMar w:top="1134" w:right="1418" w:bottom="1134" w:left="1418" w:header="964" w:footer="992" w:gutter="0"/>
          <w:pgNumType w:start="1"/>
          <w:cols w:space="720" w:num="1"/>
          <w:docGrid w:linePitch="312" w:charSpace="0"/>
        </w:sectPr>
      </w:pPr>
      <w:r>
        <w:rPr>
          <w:rFonts w:eastAsia="方正仿宋_GBK"/>
          <w:sz w:val="24"/>
          <w:szCs w:val="24"/>
        </w:rPr>
        <w:t>地址：两江新区嘉陵一村1号，重庆市红十字会医院</w:t>
      </w:r>
    </w:p>
    <w:p w14:paraId="59F55E65">
      <w:pPr>
        <w:pStyle w:val="3"/>
        <w:spacing w:before="0" w:after="0" w:line="400" w:lineRule="exact"/>
        <w:jc w:val="center"/>
        <w:rPr>
          <w:rFonts w:ascii="Times New Roman" w:hAnsi="Times New Roman" w:eastAsia="方正小标宋_GBK"/>
          <w:b w:val="0"/>
          <w:sz w:val="30"/>
          <w:szCs w:val="30"/>
        </w:rPr>
      </w:pPr>
      <w:bookmarkStart w:id="22" w:name="_Toc76462324"/>
      <w:bookmarkStart w:id="23" w:name="_Toc106030878"/>
      <w:r>
        <w:rPr>
          <w:rFonts w:ascii="Times New Roman" w:hAnsi="Times New Roman" w:eastAsia="方正小标宋_GBK"/>
          <w:b w:val="0"/>
          <w:sz w:val="36"/>
          <w:szCs w:val="30"/>
        </w:rPr>
        <w:t xml:space="preserve">第二篇  </w:t>
      </w:r>
      <w:bookmarkEnd w:id="22"/>
      <w:bookmarkEnd w:id="23"/>
      <w:r>
        <w:rPr>
          <w:rFonts w:hint="eastAsia" w:ascii="Times New Roman" w:hAnsi="Times New Roman" w:eastAsia="方正小标宋_GBK"/>
          <w:b w:val="0"/>
          <w:sz w:val="36"/>
          <w:szCs w:val="30"/>
        </w:rPr>
        <w:t>项目技术、服务需求</w:t>
      </w:r>
    </w:p>
    <w:p w14:paraId="353321C8">
      <w:pPr>
        <w:spacing w:line="400" w:lineRule="exact"/>
        <w:ind w:firstLine="480" w:firstLineChars="200"/>
        <w:rPr>
          <w:rFonts w:eastAsia="方正仿宋_GBK"/>
          <w:sz w:val="24"/>
          <w:szCs w:val="24"/>
          <w:highlight w:val="yellow"/>
        </w:rPr>
      </w:pPr>
      <w:bookmarkStart w:id="24" w:name="_Toc76462325"/>
      <w:bookmarkStart w:id="25" w:name="_Toc12789058"/>
      <w:r>
        <w:rPr>
          <w:rFonts w:eastAsia="方正仿宋_GBK"/>
          <w:sz w:val="24"/>
          <w:szCs w:val="24"/>
        </w:rPr>
        <w:t>“※”标注的服务需求为符合性审查中的实质性要求，响应文件若不满足按无效响应处理。</w:t>
      </w:r>
      <w:bookmarkEnd w:id="24"/>
    </w:p>
    <w:p w14:paraId="05A3CE60">
      <w:pPr>
        <w:spacing w:line="400" w:lineRule="exact"/>
        <w:ind w:firstLine="482" w:firstLineChars="200"/>
        <w:rPr>
          <w:rFonts w:eastAsia="方正仿宋_GBK"/>
          <w:sz w:val="24"/>
          <w:szCs w:val="24"/>
        </w:rPr>
      </w:pPr>
      <w:r>
        <w:rPr>
          <w:rFonts w:hint="eastAsia" w:eastAsia="方正仿宋_GBK"/>
          <w:b/>
          <w:bCs/>
          <w:sz w:val="24"/>
          <w:szCs w:val="24"/>
        </w:rPr>
        <w:t>一、技术要求</w:t>
      </w:r>
    </w:p>
    <w:p w14:paraId="7830EEBF">
      <w:pPr>
        <w:spacing w:before="40" w:after="60" w:line="400" w:lineRule="exact"/>
        <w:ind w:firstLine="480"/>
        <w:rPr>
          <w:rFonts w:eastAsia="方正仿宋_GBK"/>
          <w:b/>
          <w:bCs/>
          <w:sz w:val="24"/>
        </w:rPr>
      </w:pPr>
      <w:r>
        <w:rPr>
          <w:rFonts w:hint="eastAsia" w:eastAsia="方正仿宋_GBK"/>
          <w:b/>
          <w:bCs/>
          <w:sz w:val="24"/>
        </w:rPr>
        <w:t>1.采购标的及分项清单</w:t>
      </w:r>
    </w:p>
    <w:p w14:paraId="0844063C">
      <w:pPr>
        <w:spacing w:before="40" w:after="60" w:line="400" w:lineRule="exact"/>
        <w:ind w:firstLine="480"/>
        <w:rPr>
          <w:rFonts w:eastAsia="方正仿宋_GBK"/>
          <w:sz w:val="24"/>
        </w:rPr>
      </w:pPr>
      <w:r>
        <w:rPr>
          <w:rFonts w:eastAsia="方正仿宋_GBK"/>
          <w:sz w:val="24"/>
        </w:rPr>
        <w:t>本项目旨在建设一套覆盖全院“基础设施监控、业务应用SLA与主动拨测、集中日志安全审计、ITSM运维流程管理、资产CMDB与设备电子病历”的一体化统一运维监控管理平台。系统设计与建设应符合国家网络安全等级保护制度（第三级适用要求）及信息技术服务标准（ITSS）相关规范，包括 GB/T 28827.1-2022、GB/T 28827.8-2022 等，并支持国产化信创软硬件的兼容适配与平滑迁移。本项目采购标的分项清单如下：</w:t>
      </w:r>
    </w:p>
    <w:tbl>
      <w:tblPr>
        <w:tblStyle w:val="57"/>
        <w:tblW w:w="0" w:type="auto"/>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704"/>
        <w:gridCol w:w="1418"/>
        <w:gridCol w:w="4536"/>
        <w:gridCol w:w="1134"/>
        <w:gridCol w:w="706"/>
        <w:gridCol w:w="836"/>
      </w:tblGrid>
      <w:tr w14:paraId="5F4B92DD">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PrEx>
        <w:trPr>
          <w:cantSplit/>
          <w:tblHeader/>
          <w:jc w:val="center"/>
        </w:trPr>
        <w:tc>
          <w:tcPr>
            <w:tcW w:w="704" w:type="dxa"/>
            <w:shd w:val="clear" w:color="auto" w:fill="EBF1F8"/>
            <w:tcMar>
              <w:top w:w="120" w:type="dxa"/>
              <w:left w:w="140" w:type="dxa"/>
              <w:bottom w:w="120" w:type="dxa"/>
              <w:right w:w="140" w:type="dxa"/>
            </w:tcMar>
            <w:vAlign w:val="center"/>
          </w:tcPr>
          <w:p w14:paraId="34AFCE31">
            <w:pPr>
              <w:spacing w:line="30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b/>
                <w:sz w:val="21"/>
              </w:rPr>
              <w:t>序号</w:t>
            </w:r>
          </w:p>
        </w:tc>
        <w:tc>
          <w:tcPr>
            <w:tcW w:w="1418" w:type="dxa"/>
            <w:shd w:val="clear" w:color="auto" w:fill="EBF1F8"/>
            <w:tcMar>
              <w:top w:w="120" w:type="dxa"/>
              <w:left w:w="140" w:type="dxa"/>
              <w:bottom w:w="120" w:type="dxa"/>
              <w:right w:w="140" w:type="dxa"/>
            </w:tcMar>
            <w:vAlign w:val="center"/>
          </w:tcPr>
          <w:p w14:paraId="5785EF96">
            <w:pPr>
              <w:spacing w:line="30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b/>
                <w:sz w:val="21"/>
              </w:rPr>
              <w:t>分项名称</w:t>
            </w:r>
          </w:p>
        </w:tc>
        <w:tc>
          <w:tcPr>
            <w:tcW w:w="4536" w:type="dxa"/>
            <w:shd w:val="clear" w:color="auto" w:fill="EBF1F8"/>
            <w:tcMar>
              <w:top w:w="120" w:type="dxa"/>
              <w:left w:w="140" w:type="dxa"/>
              <w:bottom w:w="120" w:type="dxa"/>
              <w:right w:w="140" w:type="dxa"/>
            </w:tcMar>
            <w:vAlign w:val="center"/>
          </w:tcPr>
          <w:p w14:paraId="484539C3">
            <w:pPr>
              <w:spacing w:line="30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b/>
                <w:sz w:val="21"/>
              </w:rPr>
              <w:t>内容及技术要求概要</w:t>
            </w:r>
          </w:p>
        </w:tc>
        <w:tc>
          <w:tcPr>
            <w:tcW w:w="1134" w:type="dxa"/>
            <w:shd w:val="clear" w:color="auto" w:fill="EBF1F8"/>
            <w:tcMar>
              <w:top w:w="120" w:type="dxa"/>
              <w:left w:w="140" w:type="dxa"/>
              <w:bottom w:w="120" w:type="dxa"/>
              <w:right w:w="140" w:type="dxa"/>
            </w:tcMar>
            <w:vAlign w:val="center"/>
          </w:tcPr>
          <w:p w14:paraId="22C5D9BD">
            <w:pPr>
              <w:spacing w:line="30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b/>
                <w:sz w:val="21"/>
              </w:rPr>
              <w:t>交付形态</w:t>
            </w:r>
          </w:p>
        </w:tc>
        <w:tc>
          <w:tcPr>
            <w:tcW w:w="706" w:type="dxa"/>
            <w:shd w:val="clear" w:color="auto" w:fill="EBF1F8"/>
            <w:tcMar>
              <w:top w:w="120" w:type="dxa"/>
              <w:left w:w="140" w:type="dxa"/>
              <w:bottom w:w="120" w:type="dxa"/>
              <w:right w:w="140" w:type="dxa"/>
            </w:tcMar>
            <w:vAlign w:val="center"/>
          </w:tcPr>
          <w:p w14:paraId="1B3EF0B8">
            <w:pPr>
              <w:spacing w:line="30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b/>
                <w:sz w:val="21"/>
              </w:rPr>
              <w:t>单位</w:t>
            </w:r>
          </w:p>
        </w:tc>
        <w:tc>
          <w:tcPr>
            <w:tcW w:w="836" w:type="dxa"/>
            <w:shd w:val="clear" w:color="auto" w:fill="EBF1F8"/>
            <w:tcMar>
              <w:top w:w="120" w:type="dxa"/>
              <w:left w:w="140" w:type="dxa"/>
              <w:bottom w:w="120" w:type="dxa"/>
              <w:right w:w="140" w:type="dxa"/>
            </w:tcMar>
            <w:vAlign w:val="center"/>
          </w:tcPr>
          <w:p w14:paraId="58A57A24">
            <w:pPr>
              <w:spacing w:line="30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b/>
                <w:sz w:val="21"/>
              </w:rPr>
              <w:t>数量</w:t>
            </w:r>
          </w:p>
        </w:tc>
      </w:tr>
      <w:tr w14:paraId="3B93FD0E">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704" w:type="dxa"/>
            <w:tcMar>
              <w:top w:w="90" w:type="dxa"/>
              <w:left w:w="130" w:type="dxa"/>
              <w:bottom w:w="90" w:type="dxa"/>
              <w:right w:w="130" w:type="dxa"/>
            </w:tcMar>
            <w:vAlign w:val="center"/>
          </w:tcPr>
          <w:p w14:paraId="714E15AE">
            <w:pPr>
              <w:spacing w:line="320" w:lineRule="exact"/>
              <w:jc w:val="center"/>
            </w:pPr>
            <w:r>
              <w:rPr>
                <w:rFonts w:eastAsia="方正仿宋_GBK"/>
                <w:sz w:val="24"/>
                <w:szCs w:val="24"/>
              </w:rPr>
              <w:t>※</w:t>
            </w:r>
            <w:r>
              <w:rPr>
                <w:rFonts w:eastAsia="方正仿宋_GBK"/>
                <w:sz w:val="19"/>
              </w:rPr>
              <w:t>1</w:t>
            </w:r>
          </w:p>
        </w:tc>
        <w:tc>
          <w:tcPr>
            <w:tcW w:w="1418" w:type="dxa"/>
            <w:tcMar>
              <w:top w:w="90" w:type="dxa"/>
              <w:left w:w="130" w:type="dxa"/>
              <w:bottom w:w="90" w:type="dxa"/>
              <w:right w:w="130" w:type="dxa"/>
            </w:tcMar>
            <w:vAlign w:val="center"/>
          </w:tcPr>
          <w:p w14:paraId="5BA2958B">
            <w:pPr>
              <w:spacing w:line="320" w:lineRule="exact"/>
              <w:jc w:val="left"/>
            </w:pPr>
            <w:r>
              <w:rPr>
                <w:rFonts w:eastAsia="方正仿宋_GBK"/>
                <w:sz w:val="19"/>
              </w:rPr>
              <w:t>成套基础软件平台许可</w:t>
            </w:r>
          </w:p>
        </w:tc>
        <w:tc>
          <w:tcPr>
            <w:tcW w:w="4536" w:type="dxa"/>
            <w:tcMar>
              <w:top w:w="90" w:type="dxa"/>
              <w:left w:w="130" w:type="dxa"/>
              <w:bottom w:w="90" w:type="dxa"/>
              <w:right w:w="130" w:type="dxa"/>
            </w:tcMar>
            <w:vAlign w:val="center"/>
          </w:tcPr>
          <w:p w14:paraId="074FCD8A">
            <w:pPr>
              <w:spacing w:line="320" w:lineRule="exact"/>
              <w:jc w:val="left"/>
            </w:pPr>
            <w:r>
              <w:rPr>
                <w:rFonts w:eastAsia="方正仿宋_GBK"/>
                <w:sz w:val="19"/>
              </w:rPr>
              <w:t>成套基础平台软件系统授权，涵盖基础设施监控、应用SLA拨测与日志审计、ITSM运维流程管理、CMDB资产配置管理等成熟核心模块，具备多协议采集与全栈纳管能力，满足全院设备接入并预留≥30%扩展冗余。</w:t>
            </w:r>
          </w:p>
        </w:tc>
        <w:tc>
          <w:tcPr>
            <w:tcW w:w="1134" w:type="dxa"/>
            <w:tcMar>
              <w:top w:w="90" w:type="dxa"/>
              <w:left w:w="130" w:type="dxa"/>
              <w:bottom w:w="90" w:type="dxa"/>
              <w:right w:w="130" w:type="dxa"/>
            </w:tcMar>
            <w:vAlign w:val="center"/>
          </w:tcPr>
          <w:p w14:paraId="1B8CEB05">
            <w:pPr>
              <w:spacing w:line="320" w:lineRule="exact"/>
              <w:jc w:val="center"/>
            </w:pPr>
            <w:r>
              <w:rPr>
                <w:rFonts w:eastAsia="方正仿宋_GBK"/>
                <w:sz w:val="19"/>
              </w:rPr>
              <w:t>标准软件成品许可授权</w:t>
            </w:r>
          </w:p>
        </w:tc>
        <w:tc>
          <w:tcPr>
            <w:tcW w:w="706" w:type="dxa"/>
            <w:tcMar>
              <w:top w:w="90" w:type="dxa"/>
              <w:left w:w="130" w:type="dxa"/>
              <w:bottom w:w="90" w:type="dxa"/>
              <w:right w:w="130" w:type="dxa"/>
            </w:tcMar>
            <w:vAlign w:val="center"/>
          </w:tcPr>
          <w:p w14:paraId="0820E806">
            <w:pPr>
              <w:spacing w:line="320" w:lineRule="exact"/>
              <w:jc w:val="center"/>
            </w:pPr>
            <w:r>
              <w:rPr>
                <w:rFonts w:eastAsia="方正仿宋_GBK"/>
                <w:sz w:val="19"/>
              </w:rPr>
              <w:t>套</w:t>
            </w:r>
          </w:p>
        </w:tc>
        <w:tc>
          <w:tcPr>
            <w:tcW w:w="836" w:type="dxa"/>
            <w:tcMar>
              <w:top w:w="90" w:type="dxa"/>
              <w:left w:w="130" w:type="dxa"/>
              <w:bottom w:w="90" w:type="dxa"/>
              <w:right w:w="130" w:type="dxa"/>
            </w:tcMar>
            <w:vAlign w:val="center"/>
          </w:tcPr>
          <w:p w14:paraId="7171F369">
            <w:pPr>
              <w:spacing w:line="320" w:lineRule="exact"/>
              <w:jc w:val="center"/>
            </w:pPr>
            <w:r>
              <w:rPr>
                <w:rFonts w:eastAsia="方正仿宋_GBK"/>
                <w:sz w:val="19"/>
              </w:rPr>
              <w:t>1</w:t>
            </w:r>
          </w:p>
        </w:tc>
      </w:tr>
      <w:tr w14:paraId="34D93D8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704" w:type="dxa"/>
            <w:shd w:val="clear" w:color="auto" w:fill="F9FBFC"/>
            <w:tcMar>
              <w:top w:w="90" w:type="dxa"/>
              <w:left w:w="130" w:type="dxa"/>
              <w:bottom w:w="90" w:type="dxa"/>
              <w:right w:w="130" w:type="dxa"/>
            </w:tcMar>
            <w:vAlign w:val="center"/>
          </w:tcPr>
          <w:p w14:paraId="375FC9F1">
            <w:pPr>
              <w:spacing w:line="320" w:lineRule="exact"/>
              <w:jc w:val="center"/>
            </w:pPr>
            <w:r>
              <w:rPr>
                <w:rFonts w:eastAsia="方正仿宋_GBK"/>
                <w:sz w:val="19"/>
              </w:rPr>
              <w:t>2</w:t>
            </w:r>
          </w:p>
        </w:tc>
        <w:tc>
          <w:tcPr>
            <w:tcW w:w="1418" w:type="dxa"/>
            <w:shd w:val="clear" w:color="auto" w:fill="F9FBFC"/>
            <w:tcMar>
              <w:top w:w="90" w:type="dxa"/>
              <w:left w:w="130" w:type="dxa"/>
              <w:bottom w:w="90" w:type="dxa"/>
              <w:right w:w="130" w:type="dxa"/>
            </w:tcMar>
            <w:vAlign w:val="center"/>
          </w:tcPr>
          <w:p w14:paraId="70D303CE">
            <w:pPr>
              <w:spacing w:line="320" w:lineRule="exact"/>
              <w:jc w:val="left"/>
            </w:pPr>
            <w:r>
              <w:rPr>
                <w:rFonts w:eastAsia="方正仿宋_GBK"/>
                <w:sz w:val="19"/>
              </w:rPr>
              <w:t>医院特定场景定制二次开发</w:t>
            </w:r>
          </w:p>
        </w:tc>
        <w:tc>
          <w:tcPr>
            <w:tcW w:w="4536" w:type="dxa"/>
            <w:shd w:val="clear" w:color="auto" w:fill="F9FBFC"/>
            <w:tcMar>
              <w:top w:w="90" w:type="dxa"/>
              <w:left w:w="130" w:type="dxa"/>
              <w:bottom w:w="90" w:type="dxa"/>
              <w:right w:w="130" w:type="dxa"/>
            </w:tcMar>
            <w:vAlign w:val="center"/>
          </w:tcPr>
          <w:p w14:paraId="6A45ED32">
            <w:pPr>
              <w:spacing w:line="320" w:lineRule="exact"/>
              <w:jc w:val="left"/>
            </w:pPr>
            <w:r>
              <w:rPr>
                <w:rFonts w:eastAsia="方正仿宋_GBK"/>
                <w:sz w:val="19"/>
              </w:rPr>
              <w:t>针对</w:t>
            </w:r>
            <w:r>
              <w:rPr>
                <w:rFonts w:hint="eastAsia" w:eastAsia="方正仿宋_GBK"/>
                <w:sz w:val="19"/>
              </w:rPr>
              <w:t>医院</w:t>
            </w:r>
            <w:r>
              <w:rPr>
                <w:rFonts w:eastAsia="方正仿宋_GBK"/>
                <w:sz w:val="19"/>
              </w:rPr>
              <w:t>特定需求开展深度二次开发，包含：①临床科室移动端“扫码报修/自助服务台”定制；②医疗IT设备“电子病历”与健康度预测评分模型开发；③基于AIOps的智能基线告警与根因分析（RCA）算法定制；④等保2.0三级与平台审计日志留存≥6个月合规审计改造。</w:t>
            </w:r>
          </w:p>
        </w:tc>
        <w:tc>
          <w:tcPr>
            <w:tcW w:w="1134" w:type="dxa"/>
            <w:shd w:val="clear" w:color="auto" w:fill="F9FBFC"/>
            <w:tcMar>
              <w:top w:w="90" w:type="dxa"/>
              <w:left w:w="130" w:type="dxa"/>
              <w:bottom w:w="90" w:type="dxa"/>
              <w:right w:w="130" w:type="dxa"/>
            </w:tcMar>
            <w:vAlign w:val="center"/>
          </w:tcPr>
          <w:p w14:paraId="17A97EA5">
            <w:pPr>
              <w:spacing w:line="320" w:lineRule="exact"/>
              <w:jc w:val="center"/>
            </w:pPr>
            <w:r>
              <w:rPr>
                <w:rFonts w:eastAsia="方正仿宋_GBK"/>
                <w:sz w:val="19"/>
              </w:rPr>
              <w:t>定制软件模块与算法服务</w:t>
            </w:r>
          </w:p>
        </w:tc>
        <w:tc>
          <w:tcPr>
            <w:tcW w:w="706" w:type="dxa"/>
            <w:shd w:val="clear" w:color="auto" w:fill="F9FBFC"/>
            <w:tcMar>
              <w:top w:w="90" w:type="dxa"/>
              <w:left w:w="130" w:type="dxa"/>
              <w:bottom w:w="90" w:type="dxa"/>
              <w:right w:w="130" w:type="dxa"/>
            </w:tcMar>
            <w:vAlign w:val="center"/>
          </w:tcPr>
          <w:p w14:paraId="5C6C2D7F">
            <w:pPr>
              <w:spacing w:line="320" w:lineRule="exact"/>
              <w:jc w:val="center"/>
            </w:pPr>
            <w:r>
              <w:rPr>
                <w:rFonts w:eastAsia="方正仿宋_GBK"/>
                <w:sz w:val="19"/>
              </w:rPr>
              <w:t>项</w:t>
            </w:r>
          </w:p>
        </w:tc>
        <w:tc>
          <w:tcPr>
            <w:tcW w:w="836" w:type="dxa"/>
            <w:shd w:val="clear" w:color="auto" w:fill="F9FBFC"/>
            <w:tcMar>
              <w:top w:w="90" w:type="dxa"/>
              <w:left w:w="130" w:type="dxa"/>
              <w:bottom w:w="90" w:type="dxa"/>
              <w:right w:w="130" w:type="dxa"/>
            </w:tcMar>
            <w:vAlign w:val="center"/>
          </w:tcPr>
          <w:p w14:paraId="3D1A4BC3">
            <w:pPr>
              <w:spacing w:line="320" w:lineRule="exact"/>
              <w:jc w:val="center"/>
            </w:pPr>
            <w:r>
              <w:rPr>
                <w:rFonts w:eastAsia="方正仿宋_GBK"/>
                <w:sz w:val="19"/>
              </w:rPr>
              <w:t>1</w:t>
            </w:r>
          </w:p>
        </w:tc>
      </w:tr>
      <w:tr w14:paraId="157FDE5E">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rHeight w:val="2405" w:hRule="atLeast"/>
          <w:jc w:val="center"/>
        </w:trPr>
        <w:tc>
          <w:tcPr>
            <w:tcW w:w="704" w:type="dxa"/>
            <w:tcMar>
              <w:top w:w="90" w:type="dxa"/>
              <w:left w:w="130" w:type="dxa"/>
              <w:bottom w:w="90" w:type="dxa"/>
              <w:right w:w="130" w:type="dxa"/>
            </w:tcMar>
            <w:vAlign w:val="center"/>
          </w:tcPr>
          <w:p w14:paraId="0D1A14AD">
            <w:pPr>
              <w:spacing w:line="320" w:lineRule="exact"/>
              <w:jc w:val="center"/>
            </w:pPr>
            <w:r>
              <w:rPr>
                <w:rFonts w:eastAsia="方正仿宋_GBK"/>
                <w:sz w:val="19"/>
              </w:rPr>
              <w:t>3</w:t>
            </w:r>
          </w:p>
        </w:tc>
        <w:tc>
          <w:tcPr>
            <w:tcW w:w="1418" w:type="dxa"/>
            <w:tcMar>
              <w:top w:w="90" w:type="dxa"/>
              <w:left w:w="130" w:type="dxa"/>
              <w:bottom w:w="90" w:type="dxa"/>
              <w:right w:w="130" w:type="dxa"/>
            </w:tcMar>
            <w:vAlign w:val="center"/>
          </w:tcPr>
          <w:p w14:paraId="3C97DFE7">
            <w:pPr>
              <w:spacing w:line="320" w:lineRule="exact"/>
              <w:jc w:val="left"/>
            </w:pPr>
            <w:r>
              <w:rPr>
                <w:rFonts w:eastAsia="方正仿宋_GBK"/>
                <w:sz w:val="19"/>
              </w:rPr>
              <w:t>院内既有系统对接集成服务</w:t>
            </w:r>
          </w:p>
        </w:tc>
        <w:tc>
          <w:tcPr>
            <w:tcW w:w="4536" w:type="dxa"/>
            <w:tcMar>
              <w:top w:w="90" w:type="dxa"/>
              <w:left w:w="130" w:type="dxa"/>
              <w:bottom w:w="90" w:type="dxa"/>
              <w:right w:w="130" w:type="dxa"/>
            </w:tcMar>
            <w:vAlign w:val="center"/>
          </w:tcPr>
          <w:p w14:paraId="29757D75">
            <w:pPr>
              <w:spacing w:line="320" w:lineRule="exact"/>
              <w:jc w:val="left"/>
            </w:pPr>
            <w:r>
              <w:rPr>
                <w:rFonts w:eastAsia="方正仿宋_GBK"/>
                <w:sz w:val="19"/>
              </w:rPr>
              <w:t>负责与医院现有信息系统开展接口对接与数据打通，包含：医院OA办公系统（待办推送与单点登录）、统一身份认证平台（CAS/OAuth2/SAML单点登录与组织架构同步）、移动办公平台（企业微信/钉钉）、短信网关平台、中心机房动力环境监控系统（基于厂商接口与Modbus标准协议对接）、运维指挥中心大屏可视化投屏对接等。</w:t>
            </w:r>
          </w:p>
        </w:tc>
        <w:tc>
          <w:tcPr>
            <w:tcW w:w="1134" w:type="dxa"/>
            <w:tcMar>
              <w:top w:w="90" w:type="dxa"/>
              <w:left w:w="130" w:type="dxa"/>
              <w:bottom w:w="90" w:type="dxa"/>
              <w:right w:w="130" w:type="dxa"/>
            </w:tcMar>
            <w:vAlign w:val="center"/>
          </w:tcPr>
          <w:p w14:paraId="1B5AB17F">
            <w:pPr>
              <w:spacing w:line="320" w:lineRule="exact"/>
              <w:jc w:val="center"/>
            </w:pPr>
            <w:r>
              <w:rPr>
                <w:rFonts w:eastAsia="方正仿宋_GBK"/>
                <w:sz w:val="19"/>
              </w:rPr>
              <w:t>系统集成与接口开发</w:t>
            </w:r>
          </w:p>
        </w:tc>
        <w:tc>
          <w:tcPr>
            <w:tcW w:w="706" w:type="dxa"/>
            <w:tcMar>
              <w:top w:w="90" w:type="dxa"/>
              <w:left w:w="130" w:type="dxa"/>
              <w:bottom w:w="90" w:type="dxa"/>
              <w:right w:w="130" w:type="dxa"/>
            </w:tcMar>
            <w:vAlign w:val="center"/>
          </w:tcPr>
          <w:p w14:paraId="01580D43">
            <w:pPr>
              <w:spacing w:line="320" w:lineRule="exact"/>
              <w:jc w:val="center"/>
            </w:pPr>
            <w:r>
              <w:rPr>
                <w:rFonts w:eastAsia="方正仿宋_GBK"/>
                <w:sz w:val="19"/>
              </w:rPr>
              <w:t>项</w:t>
            </w:r>
          </w:p>
        </w:tc>
        <w:tc>
          <w:tcPr>
            <w:tcW w:w="836" w:type="dxa"/>
            <w:tcMar>
              <w:top w:w="90" w:type="dxa"/>
              <w:left w:w="130" w:type="dxa"/>
              <w:bottom w:w="90" w:type="dxa"/>
              <w:right w:w="130" w:type="dxa"/>
            </w:tcMar>
            <w:vAlign w:val="center"/>
          </w:tcPr>
          <w:p w14:paraId="2A0178B1">
            <w:pPr>
              <w:spacing w:line="320" w:lineRule="exact"/>
              <w:jc w:val="center"/>
            </w:pPr>
            <w:r>
              <w:rPr>
                <w:rFonts w:eastAsia="方正仿宋_GBK"/>
                <w:sz w:val="19"/>
              </w:rPr>
              <w:t>1</w:t>
            </w:r>
          </w:p>
        </w:tc>
      </w:tr>
      <w:tr w14:paraId="6433EA47">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704" w:type="dxa"/>
            <w:shd w:val="clear" w:color="auto" w:fill="F9FBFC"/>
            <w:tcMar>
              <w:top w:w="90" w:type="dxa"/>
              <w:left w:w="130" w:type="dxa"/>
              <w:bottom w:w="90" w:type="dxa"/>
              <w:right w:w="130" w:type="dxa"/>
            </w:tcMar>
            <w:vAlign w:val="center"/>
          </w:tcPr>
          <w:p w14:paraId="658286BD">
            <w:pPr>
              <w:spacing w:line="320" w:lineRule="exact"/>
              <w:jc w:val="center"/>
            </w:pPr>
            <w:r>
              <w:rPr>
                <w:rFonts w:eastAsia="方正仿宋_GBK"/>
                <w:sz w:val="19"/>
              </w:rPr>
              <w:t>4</w:t>
            </w:r>
          </w:p>
        </w:tc>
        <w:tc>
          <w:tcPr>
            <w:tcW w:w="1418" w:type="dxa"/>
            <w:shd w:val="clear" w:color="auto" w:fill="F9FBFC"/>
            <w:tcMar>
              <w:top w:w="90" w:type="dxa"/>
              <w:left w:w="130" w:type="dxa"/>
              <w:bottom w:w="90" w:type="dxa"/>
              <w:right w:w="130" w:type="dxa"/>
            </w:tcMar>
            <w:vAlign w:val="center"/>
          </w:tcPr>
          <w:p w14:paraId="5B77E6E6">
            <w:pPr>
              <w:spacing w:line="320" w:lineRule="exact"/>
              <w:jc w:val="left"/>
            </w:pPr>
            <w:r>
              <w:rPr>
                <w:rFonts w:eastAsia="方正仿宋_GBK"/>
                <w:sz w:val="19"/>
              </w:rPr>
              <w:t>医企联合研发与成果转化“共创方案”</w:t>
            </w:r>
          </w:p>
        </w:tc>
        <w:tc>
          <w:tcPr>
            <w:tcW w:w="4536" w:type="dxa"/>
            <w:shd w:val="clear" w:color="auto" w:fill="F9FBFC"/>
            <w:tcMar>
              <w:top w:w="90" w:type="dxa"/>
              <w:left w:w="130" w:type="dxa"/>
              <w:bottom w:w="90" w:type="dxa"/>
              <w:right w:w="130" w:type="dxa"/>
            </w:tcMar>
            <w:vAlign w:val="center"/>
          </w:tcPr>
          <w:p w14:paraId="21E1ECCF">
            <w:pPr>
              <w:spacing w:line="320" w:lineRule="exact"/>
              <w:jc w:val="left"/>
            </w:pPr>
            <w:r>
              <w:rPr>
                <w:rFonts w:eastAsia="方正仿宋_GBK"/>
                <w:sz w:val="19"/>
              </w:rPr>
              <w:t>围绕智慧医院智能运维、医院AIOps算法优化、医用IT设备健康预测模型开展医企联合攻关，完成联合申报软件著作权/发明专利、医疗行业团体标准规划或科研课题申报，提供充足研发资源投入并确保医院知识产权完整权益。</w:t>
            </w:r>
          </w:p>
        </w:tc>
        <w:tc>
          <w:tcPr>
            <w:tcW w:w="1134" w:type="dxa"/>
            <w:shd w:val="clear" w:color="auto" w:fill="F9FBFC"/>
            <w:tcMar>
              <w:top w:w="90" w:type="dxa"/>
              <w:left w:w="130" w:type="dxa"/>
              <w:bottom w:w="90" w:type="dxa"/>
              <w:right w:w="130" w:type="dxa"/>
            </w:tcMar>
            <w:vAlign w:val="center"/>
          </w:tcPr>
          <w:p w14:paraId="73468036">
            <w:pPr>
              <w:spacing w:line="320" w:lineRule="exact"/>
              <w:jc w:val="center"/>
            </w:pPr>
            <w:r>
              <w:rPr>
                <w:rFonts w:eastAsia="方正仿宋_GBK"/>
                <w:sz w:val="19"/>
              </w:rPr>
              <w:t>科研共创与知识产权成果</w:t>
            </w:r>
          </w:p>
        </w:tc>
        <w:tc>
          <w:tcPr>
            <w:tcW w:w="706" w:type="dxa"/>
            <w:shd w:val="clear" w:color="auto" w:fill="F9FBFC"/>
            <w:tcMar>
              <w:top w:w="90" w:type="dxa"/>
              <w:left w:w="130" w:type="dxa"/>
              <w:bottom w:w="90" w:type="dxa"/>
              <w:right w:w="130" w:type="dxa"/>
            </w:tcMar>
            <w:vAlign w:val="center"/>
          </w:tcPr>
          <w:p w14:paraId="72B18E9A">
            <w:pPr>
              <w:spacing w:line="320" w:lineRule="exact"/>
              <w:jc w:val="center"/>
            </w:pPr>
            <w:r>
              <w:rPr>
                <w:rFonts w:eastAsia="方正仿宋_GBK"/>
                <w:sz w:val="19"/>
              </w:rPr>
              <w:t>项</w:t>
            </w:r>
          </w:p>
        </w:tc>
        <w:tc>
          <w:tcPr>
            <w:tcW w:w="836" w:type="dxa"/>
            <w:shd w:val="clear" w:color="auto" w:fill="F9FBFC"/>
            <w:tcMar>
              <w:top w:w="90" w:type="dxa"/>
              <w:left w:w="130" w:type="dxa"/>
              <w:bottom w:w="90" w:type="dxa"/>
              <w:right w:w="130" w:type="dxa"/>
            </w:tcMar>
            <w:vAlign w:val="center"/>
          </w:tcPr>
          <w:p w14:paraId="20B894DF">
            <w:pPr>
              <w:spacing w:line="320" w:lineRule="exact"/>
              <w:jc w:val="center"/>
            </w:pPr>
            <w:r>
              <w:rPr>
                <w:rFonts w:eastAsia="方正仿宋_GBK"/>
                <w:sz w:val="19"/>
              </w:rPr>
              <w:t>1</w:t>
            </w:r>
          </w:p>
        </w:tc>
      </w:tr>
      <w:tr w14:paraId="56F494A9">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704" w:type="dxa"/>
            <w:tcMar>
              <w:top w:w="90" w:type="dxa"/>
              <w:left w:w="130" w:type="dxa"/>
              <w:bottom w:w="90" w:type="dxa"/>
              <w:right w:w="130" w:type="dxa"/>
            </w:tcMar>
            <w:vAlign w:val="center"/>
          </w:tcPr>
          <w:p w14:paraId="36AF99A2">
            <w:pPr>
              <w:spacing w:line="320" w:lineRule="exact"/>
              <w:jc w:val="center"/>
            </w:pPr>
            <w:r>
              <w:rPr>
                <w:rFonts w:eastAsia="方正仿宋_GBK"/>
                <w:sz w:val="19"/>
              </w:rPr>
              <w:t>5</w:t>
            </w:r>
          </w:p>
        </w:tc>
        <w:tc>
          <w:tcPr>
            <w:tcW w:w="1418" w:type="dxa"/>
            <w:tcMar>
              <w:top w:w="90" w:type="dxa"/>
              <w:left w:w="130" w:type="dxa"/>
              <w:bottom w:w="90" w:type="dxa"/>
              <w:right w:w="130" w:type="dxa"/>
            </w:tcMar>
            <w:vAlign w:val="center"/>
          </w:tcPr>
          <w:p w14:paraId="09A5AEA7">
            <w:pPr>
              <w:spacing w:line="320" w:lineRule="exact"/>
              <w:jc w:val="left"/>
            </w:pPr>
            <w:r>
              <w:rPr>
                <w:rFonts w:eastAsia="方正仿宋_GBK"/>
                <w:sz w:val="19"/>
              </w:rPr>
              <w:t>系统集成与驻场实施交付服务</w:t>
            </w:r>
          </w:p>
        </w:tc>
        <w:tc>
          <w:tcPr>
            <w:tcW w:w="4536" w:type="dxa"/>
            <w:tcMar>
              <w:top w:w="90" w:type="dxa"/>
              <w:left w:w="130" w:type="dxa"/>
              <w:bottom w:w="90" w:type="dxa"/>
              <w:right w:w="130" w:type="dxa"/>
            </w:tcMar>
            <w:vAlign w:val="center"/>
          </w:tcPr>
          <w:p w14:paraId="3429E521">
            <w:pPr>
              <w:spacing w:line="320" w:lineRule="exact"/>
              <w:jc w:val="left"/>
            </w:pPr>
            <w:r>
              <w:rPr>
                <w:rFonts w:eastAsia="方正仿宋_GBK"/>
                <w:sz w:val="19"/>
              </w:rPr>
              <w:t>负责本项目的全流程工程实施交付，包含：现状调研、方案设计、私有化部署、高可用集群配置、全量设备/应用接入配置、CMDB资产与流程初始化、不少于1个月（满30日历天）现场专职工程师伴跑试运行、全套技术交付文档及系统分级培训移交。</w:t>
            </w:r>
          </w:p>
        </w:tc>
        <w:tc>
          <w:tcPr>
            <w:tcW w:w="1134" w:type="dxa"/>
            <w:tcMar>
              <w:top w:w="90" w:type="dxa"/>
              <w:left w:w="130" w:type="dxa"/>
              <w:bottom w:w="90" w:type="dxa"/>
              <w:right w:w="130" w:type="dxa"/>
            </w:tcMar>
            <w:vAlign w:val="center"/>
          </w:tcPr>
          <w:p w14:paraId="46480020">
            <w:pPr>
              <w:spacing w:line="320" w:lineRule="exact"/>
              <w:jc w:val="center"/>
            </w:pPr>
            <w:r>
              <w:rPr>
                <w:rFonts w:eastAsia="方正仿宋_GBK"/>
                <w:sz w:val="19"/>
              </w:rPr>
              <w:t>现场工程与技术实施服务</w:t>
            </w:r>
          </w:p>
        </w:tc>
        <w:tc>
          <w:tcPr>
            <w:tcW w:w="706" w:type="dxa"/>
            <w:tcMar>
              <w:top w:w="90" w:type="dxa"/>
              <w:left w:w="130" w:type="dxa"/>
              <w:bottom w:w="90" w:type="dxa"/>
              <w:right w:w="130" w:type="dxa"/>
            </w:tcMar>
            <w:vAlign w:val="center"/>
          </w:tcPr>
          <w:p w14:paraId="53399CFF">
            <w:pPr>
              <w:spacing w:line="320" w:lineRule="exact"/>
              <w:jc w:val="center"/>
            </w:pPr>
            <w:r>
              <w:rPr>
                <w:rFonts w:eastAsia="方正仿宋_GBK"/>
                <w:sz w:val="19"/>
              </w:rPr>
              <w:t>项</w:t>
            </w:r>
          </w:p>
        </w:tc>
        <w:tc>
          <w:tcPr>
            <w:tcW w:w="836" w:type="dxa"/>
            <w:tcMar>
              <w:top w:w="90" w:type="dxa"/>
              <w:left w:w="130" w:type="dxa"/>
              <w:bottom w:w="90" w:type="dxa"/>
              <w:right w:w="130" w:type="dxa"/>
            </w:tcMar>
            <w:vAlign w:val="center"/>
          </w:tcPr>
          <w:p w14:paraId="6448C684">
            <w:pPr>
              <w:spacing w:line="320" w:lineRule="exact"/>
              <w:jc w:val="center"/>
            </w:pPr>
            <w:r>
              <w:rPr>
                <w:rFonts w:eastAsia="方正仿宋_GBK"/>
                <w:sz w:val="19"/>
              </w:rPr>
              <w:t>1</w:t>
            </w:r>
          </w:p>
        </w:tc>
      </w:tr>
    </w:tbl>
    <w:p w14:paraId="7FF80802">
      <w:pPr>
        <w:spacing w:before="20" w:after="40" w:line="380" w:lineRule="exact"/>
        <w:ind w:left="480" w:hanging="280"/>
        <w:rPr>
          <w:rFonts w:eastAsia="方正仿宋_GBK"/>
          <w:sz w:val="24"/>
        </w:rPr>
      </w:pPr>
      <w:r>
        <w:rPr>
          <w:rFonts w:hint="eastAsia" w:eastAsia="方正仿宋_GBK"/>
          <w:sz w:val="24"/>
        </w:rPr>
        <w:t>特别说明：</w:t>
      </w:r>
    </w:p>
    <w:p w14:paraId="69583527">
      <w:pPr>
        <w:spacing w:before="20" w:after="40" w:line="380" w:lineRule="exact"/>
        <w:ind w:firstLine="480" w:firstLineChars="200"/>
        <w:rPr>
          <w:rFonts w:eastAsia="方正仿宋_GBK"/>
          <w:sz w:val="24"/>
        </w:rPr>
      </w:pPr>
      <w:r>
        <w:rPr>
          <w:rFonts w:eastAsia="方正仿宋_GBK"/>
          <w:sz w:val="24"/>
        </w:rPr>
        <w:t>硬件基础设施边界：平台运行所需的服务器、存储阵列、负载均衡设备、大屏物理显示单元等硬件基础设施由采购人负责提供或复用医院现有私有云/虚拟化环境，本项目不包含硬件采购。</w:t>
      </w:r>
    </w:p>
    <w:p w14:paraId="77FBFFE4">
      <w:pPr>
        <w:spacing w:before="20" w:after="40" w:line="380" w:lineRule="exact"/>
        <w:ind w:firstLine="480" w:firstLineChars="200"/>
        <w:rPr>
          <w:rFonts w:eastAsia="方正仿宋_GBK"/>
          <w:sz w:val="24"/>
        </w:rPr>
      </w:pPr>
      <w:r>
        <w:rPr>
          <w:rFonts w:eastAsia="方正仿宋_GBK"/>
          <w:sz w:val="24"/>
        </w:rPr>
        <w:t>等保与密评测评责任：如采购人要求</w:t>
      </w:r>
      <w:r>
        <w:rPr>
          <w:rFonts w:hint="eastAsia" w:eastAsia="方正仿宋_GBK"/>
          <w:sz w:val="24"/>
        </w:rPr>
        <w:t>对本系统</w:t>
      </w:r>
      <w:r>
        <w:rPr>
          <w:rFonts w:eastAsia="方正仿宋_GBK"/>
          <w:sz w:val="24"/>
        </w:rPr>
        <w:t>开展网络安全等级保护测评及商用密码应用安全性评估，相关第三方测评费用由采购人另行承担，不计入本次投标总报价。中标人应提供测评所需的技术方案、加固配置文档及密码应用集成支持，配合第三方测评机构开展技术核查，并负责整改本平台自身原因导致的不符合项，直至满足相关测评要求。</w:t>
      </w:r>
    </w:p>
    <w:p w14:paraId="1994CF28">
      <w:pPr>
        <w:spacing w:before="40" w:after="60" w:line="400" w:lineRule="exact"/>
        <w:ind w:firstLine="480"/>
        <w:rPr>
          <w:rFonts w:eastAsia="方正仿宋_GBK"/>
          <w:b/>
          <w:bCs/>
          <w:sz w:val="24"/>
        </w:rPr>
      </w:pPr>
      <w:r>
        <w:rPr>
          <w:rFonts w:hint="eastAsia" w:eastAsia="方正仿宋_GBK"/>
          <w:b/>
          <w:bCs/>
          <w:sz w:val="24"/>
        </w:rPr>
        <w:t>2.系统总体架构与部署要求</w:t>
      </w:r>
    </w:p>
    <w:p w14:paraId="7CDBF8C9">
      <w:pPr>
        <w:spacing w:before="20" w:after="40" w:line="380" w:lineRule="exact"/>
        <w:ind w:firstLine="480" w:firstLineChars="200"/>
        <w:rPr>
          <w:rFonts w:eastAsia="方正仿宋_GBK"/>
          <w:sz w:val="24"/>
        </w:rPr>
      </w:pPr>
      <w:r>
        <w:rPr>
          <w:rFonts w:hint="eastAsia" w:eastAsia="方正仿宋_GBK"/>
          <w:sz w:val="24"/>
        </w:rPr>
        <w:t>2.1</w:t>
      </w:r>
      <w:r>
        <w:rPr>
          <w:rFonts w:eastAsia="方正仿宋_GBK"/>
          <w:sz w:val="24"/>
        </w:rPr>
        <w:t>总体逻辑架构：平台应采用松耦合、高内聚、易扩展的分层微服务体系架构。采集层支持SNMP、Agent、JMX、WMI、SSH、IPMI、Modbus/TCP、Syslog、Prometheus Exporter及RESTful API等；数据层采用时序库、全文检索日志库与关系库混合引擎；算法层内置指标计算、AIOps动态基线、告警收敛及RCA根因分析引擎；业务应用层涵盖监控、拨测、日志、ITSM、CMDB与医工共创；综合展现层提供运维门户、临床移动端、3D动环与大屏看板。</w:t>
      </w:r>
    </w:p>
    <w:p w14:paraId="1DE42D42">
      <w:pPr>
        <w:spacing w:before="20" w:after="40" w:line="380" w:lineRule="exact"/>
        <w:ind w:firstLine="480" w:firstLineChars="200"/>
        <w:rPr>
          <w:rFonts w:eastAsia="方正仿宋_GBK"/>
          <w:sz w:val="24"/>
        </w:rPr>
      </w:pPr>
      <w:r>
        <w:rPr>
          <w:rFonts w:hint="eastAsia" w:eastAsia="方正仿宋_GBK"/>
          <w:sz w:val="24"/>
        </w:rPr>
        <w:t>2.2</w:t>
      </w:r>
      <w:r>
        <w:rPr>
          <w:rFonts w:eastAsia="方正仿宋_GBK"/>
          <w:sz w:val="24"/>
        </w:rPr>
        <w:t>私有化部署：平台采用纯私有化部署架构，全套软件系统部署于医院内网机房或医院私有云环境中，所有运维采集数据、配置资产信息、工单流转记录及日志数据100%保留在医院内部网络，严禁任何形式的公网数据回传。</w:t>
      </w:r>
    </w:p>
    <w:p w14:paraId="55A908BA">
      <w:pPr>
        <w:spacing w:before="20" w:after="40" w:line="380" w:lineRule="exact"/>
        <w:ind w:firstLine="480" w:firstLineChars="200"/>
        <w:rPr>
          <w:rFonts w:eastAsia="方正仿宋_GBK"/>
          <w:sz w:val="24"/>
        </w:rPr>
      </w:pPr>
      <w:r>
        <w:rPr>
          <w:rFonts w:hint="eastAsia" w:eastAsia="方正仿宋_GBK"/>
          <w:sz w:val="24"/>
        </w:rPr>
        <w:t>2.3</w:t>
      </w:r>
      <w:r>
        <w:rPr>
          <w:rFonts w:eastAsia="方正仿宋_GBK"/>
          <w:sz w:val="24"/>
        </w:rPr>
        <w:t>高可用集群与容错设计：核心采集服务、数据处理中间件及告警推送引擎必须支持双机热备（Active-Active或Active-Standby）及集群化负载均衡部署模式。当单节点出现硬件故障或网络顿挫时，系统须在30秒内实现无缝故障转移，平台系统自身年可用性指标必须达到≥99.9%（扣除采购人事先书面确认的计划维护时间后，全年非计划宕机累计≤8.76小时）。</w:t>
      </w:r>
    </w:p>
    <w:p w14:paraId="50C0B9E9">
      <w:pPr>
        <w:spacing w:before="20" w:after="40" w:line="380" w:lineRule="exact"/>
        <w:ind w:firstLine="480" w:firstLineChars="200"/>
        <w:rPr>
          <w:rFonts w:eastAsia="方正仿宋_GBK"/>
          <w:sz w:val="24"/>
        </w:rPr>
      </w:pPr>
      <w:r>
        <w:rPr>
          <w:rFonts w:hint="eastAsia" w:eastAsia="方正仿宋_GBK"/>
          <w:sz w:val="24"/>
        </w:rPr>
        <w:t>2.4</w:t>
      </w:r>
      <w:r>
        <w:rPr>
          <w:rFonts w:eastAsia="方正仿宋_GBK"/>
          <w:sz w:val="24"/>
        </w:rPr>
        <w:t>网络容错与断点续传：具备强大的网络容错与故障自愈能力，分布式采集探针本地磁盘必须具备至少72小时离线循环缓存能力。在网络闪断恢复后30分钟内，探针自动将本地缓存数据按序补传至中心服务，补传成功率要求达到≥99.99%，在缓存周期内达成RPO=0的业务数据防护目标。</w:t>
      </w:r>
    </w:p>
    <w:p w14:paraId="0CA90088">
      <w:pPr>
        <w:spacing w:before="20" w:after="40" w:line="380" w:lineRule="exact"/>
        <w:ind w:firstLine="480" w:firstLineChars="200"/>
        <w:rPr>
          <w:rFonts w:eastAsia="方正仿宋_GBK"/>
          <w:sz w:val="24"/>
        </w:rPr>
      </w:pPr>
      <w:r>
        <w:rPr>
          <w:rFonts w:hint="eastAsia" w:eastAsia="方正仿宋_GBK"/>
          <w:sz w:val="24"/>
        </w:rPr>
        <w:t>2.5</w:t>
      </w:r>
      <w:r>
        <w:rPr>
          <w:rFonts w:eastAsia="方正仿宋_GBK"/>
          <w:sz w:val="24"/>
        </w:rPr>
        <w:t>系统容量与扩展冗余：系统必须具备强大的横向水平扩展能力，单套集群环境具备不少于10,000个软硬件对象节点或100,000个指标项的实时纳管能力；在满足新院区及全院全量资产接入的基础上，预留不少于30%的性能与存储吞吐余量，满足未来3</w:t>
      </w:r>
      <w:r>
        <w:rPr>
          <w:rFonts w:hint="eastAsia" w:eastAsia="方正仿宋_GBK"/>
          <w:sz w:val="24"/>
        </w:rPr>
        <w:t>~</w:t>
      </w:r>
      <w:r>
        <w:rPr>
          <w:rFonts w:eastAsia="方正仿宋_GBK"/>
          <w:sz w:val="24"/>
        </w:rPr>
        <w:t>5年业务扩容需求。</w:t>
      </w:r>
    </w:p>
    <w:p w14:paraId="4A860F90">
      <w:pPr>
        <w:spacing w:before="20" w:after="40" w:line="380" w:lineRule="exact"/>
        <w:ind w:firstLine="480" w:firstLineChars="200"/>
        <w:rPr>
          <w:rFonts w:eastAsia="方正仿宋_GBK"/>
          <w:sz w:val="24"/>
        </w:rPr>
      </w:pPr>
      <w:r>
        <w:rPr>
          <w:rFonts w:hint="eastAsia" w:eastAsia="方正仿宋_GBK"/>
          <w:sz w:val="24"/>
        </w:rPr>
        <w:t>2.6</w:t>
      </w:r>
      <w:r>
        <w:rPr>
          <w:rFonts w:eastAsia="方正仿宋_GBK"/>
          <w:sz w:val="24"/>
        </w:rPr>
        <w:t>国产化信创适配兼容要求：平台软件必须具备完备的国产化软硬件适配与调优能力，完全支持在海光（x86架构）、飞腾/鲲鹏（ARM架构）等主流国产CPU服务器架构上流畅运行；全面兼容银河麒麟、统信UOS等国产主流操作系统；数据层无缝对接与适配主流国产关系型数据库；支持在主流国产应用中间件上部署运行。</w:t>
      </w:r>
    </w:p>
    <w:p w14:paraId="140FDCF5">
      <w:pPr>
        <w:spacing w:before="20" w:after="40" w:line="380" w:lineRule="exact"/>
        <w:ind w:firstLine="480" w:firstLineChars="200"/>
        <w:rPr>
          <w:rFonts w:eastAsia="方正仿宋_GBK"/>
          <w:sz w:val="24"/>
        </w:rPr>
      </w:pPr>
      <w:r>
        <w:rPr>
          <w:rFonts w:hint="eastAsia" w:eastAsia="方正仿宋_GBK"/>
          <w:sz w:val="24"/>
        </w:rPr>
        <w:t>2.7</w:t>
      </w:r>
      <w:r>
        <w:rPr>
          <w:rFonts w:eastAsia="方正仿宋_GBK"/>
          <w:sz w:val="24"/>
        </w:rPr>
        <w:t>系统接口与集成规范：系统接口应支持对接短信、企业微信、钉钉及邮件；与医院协同办公系统（OA）打通待办与单点跳转；与医院统一身份认证平台对接实现免密SSO登录与组织架构同步；针对中心机房动环监控系统，通过厂商API或Modbus/TCP、Modbus/RTU通信协议对接，测点数据刷新周期≤5秒；提供大屏输出及对外标准RESTful OpenAPI体系。</w:t>
      </w:r>
    </w:p>
    <w:p w14:paraId="3F9C6E15">
      <w:pPr>
        <w:spacing w:before="40" w:after="60" w:line="400" w:lineRule="exact"/>
        <w:ind w:firstLine="480"/>
        <w:rPr>
          <w:rFonts w:eastAsia="方正仿宋_GBK"/>
          <w:b/>
          <w:bCs/>
          <w:sz w:val="24"/>
        </w:rPr>
      </w:pPr>
      <w:r>
        <w:rPr>
          <w:rFonts w:hint="eastAsia" w:eastAsia="方正仿宋_GBK"/>
          <w:b/>
          <w:bCs/>
          <w:sz w:val="24"/>
        </w:rPr>
        <w:t>3.详细功能技术规格要求</w:t>
      </w:r>
    </w:p>
    <w:p w14:paraId="6F37F59D">
      <w:pPr>
        <w:spacing w:before="20" w:after="40" w:line="380" w:lineRule="exact"/>
        <w:ind w:firstLine="480" w:firstLineChars="200"/>
        <w:rPr>
          <w:rFonts w:eastAsia="方正仿宋_GBK"/>
          <w:sz w:val="24"/>
        </w:rPr>
      </w:pPr>
      <w:r>
        <w:rPr>
          <w:rFonts w:eastAsia="方正仿宋_GBK"/>
          <w:sz w:val="24"/>
        </w:rPr>
        <w:t>3.1 基础设施与设备监控模块</w:t>
      </w:r>
    </w:p>
    <w:tbl>
      <w:tblPr>
        <w:tblStyle w:val="57"/>
        <w:tblW w:w="0" w:type="auto"/>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880"/>
        <w:gridCol w:w="1441"/>
        <w:gridCol w:w="1966"/>
        <w:gridCol w:w="4958"/>
      </w:tblGrid>
      <w:tr w14:paraId="4CCADAE9">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blHeader/>
          <w:jc w:val="center"/>
        </w:trPr>
        <w:tc>
          <w:tcPr>
            <w:tcW w:w="880" w:type="dxa"/>
            <w:shd w:val="clear" w:color="auto" w:fill="EBF1F8"/>
            <w:tcMar>
              <w:top w:w="120" w:type="dxa"/>
              <w:left w:w="140" w:type="dxa"/>
              <w:bottom w:w="120" w:type="dxa"/>
              <w:right w:w="140" w:type="dxa"/>
            </w:tcMar>
            <w:vAlign w:val="center"/>
          </w:tcPr>
          <w:p w14:paraId="50D68E02">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序号</w:t>
            </w:r>
          </w:p>
        </w:tc>
        <w:tc>
          <w:tcPr>
            <w:tcW w:w="1441" w:type="dxa"/>
            <w:shd w:val="clear" w:color="auto" w:fill="EBF1F8"/>
            <w:tcMar>
              <w:top w:w="120" w:type="dxa"/>
              <w:left w:w="140" w:type="dxa"/>
              <w:bottom w:w="120" w:type="dxa"/>
              <w:right w:w="140" w:type="dxa"/>
            </w:tcMar>
            <w:vAlign w:val="center"/>
          </w:tcPr>
          <w:p w14:paraId="5212B3E0">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监控对象</w:t>
            </w:r>
          </w:p>
        </w:tc>
        <w:tc>
          <w:tcPr>
            <w:tcW w:w="1966" w:type="dxa"/>
            <w:shd w:val="clear" w:color="auto" w:fill="EBF1F8"/>
            <w:tcMar>
              <w:top w:w="120" w:type="dxa"/>
              <w:left w:w="140" w:type="dxa"/>
              <w:bottom w:w="120" w:type="dxa"/>
              <w:right w:w="140" w:type="dxa"/>
            </w:tcMar>
            <w:vAlign w:val="center"/>
          </w:tcPr>
          <w:p w14:paraId="328B675A">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采集接入协议</w:t>
            </w:r>
          </w:p>
        </w:tc>
        <w:tc>
          <w:tcPr>
            <w:tcW w:w="4958" w:type="dxa"/>
            <w:shd w:val="clear" w:color="auto" w:fill="EBF1F8"/>
            <w:tcMar>
              <w:top w:w="120" w:type="dxa"/>
              <w:left w:w="140" w:type="dxa"/>
              <w:bottom w:w="120" w:type="dxa"/>
              <w:right w:w="140" w:type="dxa"/>
            </w:tcMar>
            <w:vAlign w:val="center"/>
          </w:tcPr>
          <w:p w14:paraId="2908AC68">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核心监控指标及功能规格要求</w:t>
            </w:r>
          </w:p>
        </w:tc>
      </w:tr>
      <w:tr w14:paraId="6E3E9311">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880" w:type="dxa"/>
            <w:tcMar>
              <w:top w:w="90" w:type="dxa"/>
              <w:left w:w="130" w:type="dxa"/>
              <w:bottom w:w="90" w:type="dxa"/>
              <w:right w:w="130" w:type="dxa"/>
            </w:tcMar>
            <w:vAlign w:val="center"/>
          </w:tcPr>
          <w:p w14:paraId="1D3D0147">
            <w:pPr>
              <w:spacing w:line="320" w:lineRule="exact"/>
              <w:jc w:val="center"/>
            </w:pPr>
            <w:r>
              <w:rPr>
                <w:rFonts w:eastAsia="方正仿宋_GBK"/>
                <w:sz w:val="19"/>
              </w:rPr>
              <w:t>3.1.1</w:t>
            </w:r>
          </w:p>
        </w:tc>
        <w:tc>
          <w:tcPr>
            <w:tcW w:w="1441" w:type="dxa"/>
            <w:tcMar>
              <w:top w:w="90" w:type="dxa"/>
              <w:left w:w="130" w:type="dxa"/>
              <w:bottom w:w="90" w:type="dxa"/>
              <w:right w:w="130" w:type="dxa"/>
            </w:tcMar>
            <w:vAlign w:val="center"/>
          </w:tcPr>
          <w:p w14:paraId="4866B218">
            <w:pPr>
              <w:spacing w:line="320" w:lineRule="exact"/>
              <w:jc w:val="left"/>
            </w:pPr>
            <w:r>
              <w:rPr>
                <w:rFonts w:eastAsia="方正仿宋_GBK"/>
                <w:sz w:val="19"/>
              </w:rPr>
              <w:t>网络设备监控</w:t>
            </w:r>
          </w:p>
        </w:tc>
        <w:tc>
          <w:tcPr>
            <w:tcW w:w="1966" w:type="dxa"/>
            <w:tcMar>
              <w:top w:w="90" w:type="dxa"/>
              <w:left w:w="130" w:type="dxa"/>
              <w:bottom w:w="90" w:type="dxa"/>
              <w:right w:w="130" w:type="dxa"/>
            </w:tcMar>
            <w:vAlign w:val="center"/>
          </w:tcPr>
          <w:p w14:paraId="26CB307E">
            <w:pPr>
              <w:spacing w:line="320" w:lineRule="exact"/>
              <w:jc w:val="left"/>
            </w:pPr>
            <w:r>
              <w:rPr>
                <w:rFonts w:eastAsia="方正仿宋_GBK"/>
                <w:sz w:val="19"/>
              </w:rPr>
              <w:t>SNMP v1/v2c/v3、NetFlow/sFlow、Syslog</w:t>
            </w:r>
          </w:p>
        </w:tc>
        <w:tc>
          <w:tcPr>
            <w:tcW w:w="4958" w:type="dxa"/>
            <w:tcMar>
              <w:top w:w="90" w:type="dxa"/>
              <w:left w:w="130" w:type="dxa"/>
              <w:bottom w:w="90" w:type="dxa"/>
              <w:right w:w="130" w:type="dxa"/>
            </w:tcMar>
            <w:vAlign w:val="center"/>
          </w:tcPr>
          <w:p w14:paraId="5C100938">
            <w:pPr>
              <w:spacing w:line="320" w:lineRule="exact"/>
              <w:jc w:val="left"/>
            </w:pPr>
            <w:r>
              <w:rPr>
                <w:rFonts w:eastAsia="方正仿宋_GBK"/>
                <w:sz w:val="19"/>
              </w:rPr>
              <w:t>全面覆盖交换机、核心路由器、防火墙、负载均衡、VPN网关等网络设备。监控指标包括：整机CPU/内存利用率、设备温度、电源与风扇冗余状态；端口运行状态、实时流入/流出速率、带宽利用率、丢包错包率、CRC校验错误；支持自动备份网络设备配置文件，及时捕获配置变更并生成审计比对报表。</w:t>
            </w:r>
          </w:p>
        </w:tc>
      </w:tr>
      <w:tr w14:paraId="58125DFA">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880" w:type="dxa"/>
            <w:shd w:val="clear" w:color="auto" w:fill="F9FBFC"/>
            <w:tcMar>
              <w:top w:w="90" w:type="dxa"/>
              <w:left w:w="130" w:type="dxa"/>
              <w:bottom w:w="90" w:type="dxa"/>
              <w:right w:w="130" w:type="dxa"/>
            </w:tcMar>
            <w:vAlign w:val="center"/>
          </w:tcPr>
          <w:p w14:paraId="719CD854">
            <w:pPr>
              <w:spacing w:line="320" w:lineRule="exact"/>
              <w:jc w:val="center"/>
            </w:pPr>
            <w:r>
              <w:rPr>
                <w:rFonts w:eastAsia="方正黑体_GBK"/>
                <w:b/>
                <w:sz w:val="19"/>
              </w:rPr>
              <w:t>※</w:t>
            </w:r>
            <w:r>
              <w:rPr>
                <w:rFonts w:eastAsia="方正仿宋_GBK"/>
                <w:sz w:val="19"/>
              </w:rPr>
              <w:t>3.1.2</w:t>
            </w:r>
          </w:p>
        </w:tc>
        <w:tc>
          <w:tcPr>
            <w:tcW w:w="1441" w:type="dxa"/>
            <w:shd w:val="clear" w:color="auto" w:fill="F9FBFC"/>
            <w:tcMar>
              <w:top w:w="90" w:type="dxa"/>
              <w:left w:w="130" w:type="dxa"/>
              <w:bottom w:w="90" w:type="dxa"/>
              <w:right w:w="130" w:type="dxa"/>
            </w:tcMar>
            <w:vAlign w:val="center"/>
          </w:tcPr>
          <w:p w14:paraId="2923F0C0">
            <w:pPr>
              <w:spacing w:line="320" w:lineRule="exact"/>
              <w:jc w:val="left"/>
            </w:pPr>
            <w:r>
              <w:rPr>
                <w:rFonts w:eastAsia="方正仿宋_GBK"/>
                <w:sz w:val="19"/>
              </w:rPr>
              <w:t>服务器与硬件监控</w:t>
            </w:r>
          </w:p>
        </w:tc>
        <w:tc>
          <w:tcPr>
            <w:tcW w:w="1966" w:type="dxa"/>
            <w:shd w:val="clear" w:color="auto" w:fill="F9FBFC"/>
            <w:tcMar>
              <w:top w:w="90" w:type="dxa"/>
              <w:left w:w="130" w:type="dxa"/>
              <w:bottom w:w="90" w:type="dxa"/>
              <w:right w:w="130" w:type="dxa"/>
            </w:tcMar>
            <w:vAlign w:val="center"/>
          </w:tcPr>
          <w:p w14:paraId="62D7AE52">
            <w:pPr>
              <w:spacing w:line="320" w:lineRule="exact"/>
              <w:jc w:val="left"/>
            </w:pPr>
            <w:r>
              <w:rPr>
                <w:rFonts w:eastAsia="方正仿宋_GBK"/>
                <w:sz w:val="19"/>
              </w:rPr>
              <w:t>Agent、IPMI v2.0、SNMP、WMI</w:t>
            </w:r>
          </w:p>
        </w:tc>
        <w:tc>
          <w:tcPr>
            <w:tcW w:w="4958" w:type="dxa"/>
            <w:shd w:val="clear" w:color="auto" w:fill="F9FBFC"/>
            <w:tcMar>
              <w:top w:w="90" w:type="dxa"/>
              <w:left w:w="130" w:type="dxa"/>
              <w:bottom w:w="90" w:type="dxa"/>
              <w:right w:w="130" w:type="dxa"/>
            </w:tcMar>
            <w:vAlign w:val="center"/>
          </w:tcPr>
          <w:p w14:paraId="07475EF4">
            <w:pPr>
              <w:spacing w:line="320" w:lineRule="exact"/>
              <w:jc w:val="left"/>
            </w:pPr>
            <w:r>
              <w:rPr>
                <w:rFonts w:eastAsia="方正仿宋_GBK"/>
                <w:sz w:val="19"/>
              </w:rPr>
              <w:t>支持纳管物理机、刀片服务器、裸金属服务器及高密服务器。监控指标包括：CPU综合利用率、多核负载分布、物理内存与交换空间使用率；各分区磁盘空间、磁盘I/O读写延迟与吞吐；通过IPMI硬件带外监控主板电压、风扇转速、机箱内部温度、双冗余电源工作状态及物理磁盘故障状态。</w:t>
            </w:r>
          </w:p>
        </w:tc>
      </w:tr>
      <w:tr w14:paraId="5A03E3EF">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880" w:type="dxa"/>
            <w:tcMar>
              <w:top w:w="90" w:type="dxa"/>
              <w:left w:w="130" w:type="dxa"/>
              <w:bottom w:w="90" w:type="dxa"/>
              <w:right w:w="130" w:type="dxa"/>
            </w:tcMar>
            <w:vAlign w:val="center"/>
          </w:tcPr>
          <w:p w14:paraId="53AC2785">
            <w:pPr>
              <w:spacing w:line="320" w:lineRule="exact"/>
              <w:jc w:val="center"/>
            </w:pPr>
            <w:r>
              <w:rPr>
                <w:rFonts w:eastAsia="方正仿宋_GBK"/>
                <w:sz w:val="19"/>
              </w:rPr>
              <w:t>3.1.3</w:t>
            </w:r>
          </w:p>
        </w:tc>
        <w:tc>
          <w:tcPr>
            <w:tcW w:w="1441" w:type="dxa"/>
            <w:tcMar>
              <w:top w:w="90" w:type="dxa"/>
              <w:left w:w="130" w:type="dxa"/>
              <w:bottom w:w="90" w:type="dxa"/>
              <w:right w:w="130" w:type="dxa"/>
            </w:tcMar>
            <w:vAlign w:val="center"/>
          </w:tcPr>
          <w:p w14:paraId="0E750225">
            <w:pPr>
              <w:spacing w:line="320" w:lineRule="exact"/>
              <w:jc w:val="left"/>
            </w:pPr>
            <w:r>
              <w:rPr>
                <w:rFonts w:eastAsia="方正仿宋_GBK"/>
                <w:sz w:val="19"/>
              </w:rPr>
              <w:t>存储系统监控</w:t>
            </w:r>
          </w:p>
        </w:tc>
        <w:tc>
          <w:tcPr>
            <w:tcW w:w="1966" w:type="dxa"/>
            <w:tcMar>
              <w:top w:w="90" w:type="dxa"/>
              <w:left w:w="130" w:type="dxa"/>
              <w:bottom w:w="90" w:type="dxa"/>
              <w:right w:w="130" w:type="dxa"/>
            </w:tcMar>
            <w:vAlign w:val="center"/>
          </w:tcPr>
          <w:p w14:paraId="39DFFD57">
            <w:pPr>
              <w:spacing w:line="320" w:lineRule="exact"/>
              <w:jc w:val="left"/>
            </w:pPr>
            <w:r>
              <w:rPr>
                <w:rFonts w:eastAsia="方正仿宋_GBK"/>
                <w:sz w:val="19"/>
              </w:rPr>
              <w:t>SMI-S、RESTful API、SNMP</w:t>
            </w:r>
          </w:p>
        </w:tc>
        <w:tc>
          <w:tcPr>
            <w:tcW w:w="4958" w:type="dxa"/>
            <w:tcMar>
              <w:top w:w="90" w:type="dxa"/>
              <w:left w:w="130" w:type="dxa"/>
              <w:bottom w:w="90" w:type="dxa"/>
              <w:right w:w="130" w:type="dxa"/>
            </w:tcMar>
            <w:vAlign w:val="center"/>
          </w:tcPr>
          <w:p w14:paraId="6106B969">
            <w:pPr>
              <w:spacing w:line="320" w:lineRule="exact"/>
              <w:jc w:val="left"/>
            </w:pPr>
            <w:r>
              <w:rPr>
                <w:rFonts w:eastAsia="方正仿宋_GBK"/>
                <w:sz w:val="19"/>
              </w:rPr>
              <w:t>支持主流集中式磁盘阵列（SAN/NAS）及分布式存储。监控指标包括：存储机头/控制器CPU负载、多路径链路状态；存储池与LUN容量利用率、IOPS、读写吞吐带宽、响应延迟；RAID组运行状态、坏道统计、备用盘激活状态及存储缓存命中率。</w:t>
            </w:r>
          </w:p>
        </w:tc>
      </w:tr>
      <w:tr w14:paraId="1C3CF82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880" w:type="dxa"/>
            <w:shd w:val="clear" w:color="auto" w:fill="F9FBFC"/>
            <w:tcMar>
              <w:top w:w="90" w:type="dxa"/>
              <w:left w:w="130" w:type="dxa"/>
              <w:bottom w:w="90" w:type="dxa"/>
              <w:right w:w="130" w:type="dxa"/>
            </w:tcMar>
            <w:vAlign w:val="center"/>
          </w:tcPr>
          <w:p w14:paraId="624C2C27">
            <w:pPr>
              <w:spacing w:line="320" w:lineRule="exact"/>
              <w:jc w:val="center"/>
            </w:pPr>
            <w:r>
              <w:rPr>
                <w:rFonts w:eastAsia="方正仿宋_GBK"/>
                <w:sz w:val="19"/>
              </w:rPr>
              <w:t>3.1.4</w:t>
            </w:r>
          </w:p>
        </w:tc>
        <w:tc>
          <w:tcPr>
            <w:tcW w:w="1441" w:type="dxa"/>
            <w:shd w:val="clear" w:color="auto" w:fill="F9FBFC"/>
            <w:tcMar>
              <w:top w:w="90" w:type="dxa"/>
              <w:left w:w="130" w:type="dxa"/>
              <w:bottom w:w="90" w:type="dxa"/>
              <w:right w:w="130" w:type="dxa"/>
            </w:tcMar>
            <w:vAlign w:val="center"/>
          </w:tcPr>
          <w:p w14:paraId="1F46B654">
            <w:pPr>
              <w:spacing w:line="320" w:lineRule="exact"/>
              <w:jc w:val="left"/>
            </w:pPr>
            <w:r>
              <w:rPr>
                <w:rFonts w:eastAsia="方正仿宋_GBK"/>
                <w:sz w:val="19"/>
              </w:rPr>
              <w:t>虚拟化集群监控</w:t>
            </w:r>
          </w:p>
        </w:tc>
        <w:tc>
          <w:tcPr>
            <w:tcW w:w="1966" w:type="dxa"/>
            <w:shd w:val="clear" w:color="auto" w:fill="F9FBFC"/>
            <w:tcMar>
              <w:top w:w="90" w:type="dxa"/>
              <w:left w:w="130" w:type="dxa"/>
              <w:bottom w:w="90" w:type="dxa"/>
              <w:right w:w="130" w:type="dxa"/>
            </w:tcMar>
            <w:vAlign w:val="center"/>
          </w:tcPr>
          <w:p w14:paraId="76CD660A">
            <w:pPr>
              <w:spacing w:line="320" w:lineRule="exact"/>
              <w:jc w:val="left"/>
            </w:pPr>
            <w:r>
              <w:rPr>
                <w:rFonts w:eastAsia="方正仿宋_GBK"/>
                <w:sz w:val="19"/>
              </w:rPr>
              <w:t>API、SDK无侵入接入</w:t>
            </w:r>
          </w:p>
        </w:tc>
        <w:tc>
          <w:tcPr>
            <w:tcW w:w="4958" w:type="dxa"/>
            <w:shd w:val="clear" w:color="auto" w:fill="F9FBFC"/>
            <w:tcMar>
              <w:top w:w="90" w:type="dxa"/>
              <w:left w:w="130" w:type="dxa"/>
              <w:bottom w:w="90" w:type="dxa"/>
              <w:right w:w="130" w:type="dxa"/>
            </w:tcMar>
            <w:vAlign w:val="center"/>
          </w:tcPr>
          <w:p w14:paraId="40D0904F">
            <w:pPr>
              <w:spacing w:line="320" w:lineRule="exact"/>
              <w:jc w:val="left"/>
            </w:pPr>
            <w:r>
              <w:rPr>
                <w:rFonts w:eastAsia="方正仿宋_GBK"/>
                <w:sz w:val="19"/>
              </w:rPr>
              <w:t>全面纳管VMware vSphere/vCenter及国产虚拟化云平台。监控指标包括：计算集群、宿主物理节点、虚拟机的多层级运行状态与资源超分比例；宿主机及虚拟机CPU使用率、内存配额与气球机制、虚拟网卡流量、虚拟磁盘读写吞吐；实时捕获虚拟机冷热迁移事件、HA故障切换及快照异常状态。</w:t>
            </w:r>
          </w:p>
        </w:tc>
      </w:tr>
      <w:tr w14:paraId="0949873F">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rHeight w:val="2627" w:hRule="atLeast"/>
          <w:jc w:val="center"/>
        </w:trPr>
        <w:tc>
          <w:tcPr>
            <w:tcW w:w="880" w:type="dxa"/>
            <w:tcMar>
              <w:top w:w="90" w:type="dxa"/>
              <w:left w:w="130" w:type="dxa"/>
              <w:bottom w:w="90" w:type="dxa"/>
              <w:right w:w="130" w:type="dxa"/>
            </w:tcMar>
            <w:vAlign w:val="center"/>
          </w:tcPr>
          <w:p w14:paraId="6A088E49">
            <w:pPr>
              <w:spacing w:line="320" w:lineRule="exact"/>
              <w:jc w:val="center"/>
            </w:pPr>
            <w:r>
              <w:rPr>
                <w:rFonts w:eastAsia="方正黑体_GBK"/>
                <w:b/>
                <w:sz w:val="19"/>
              </w:rPr>
              <w:t>※</w:t>
            </w:r>
            <w:r>
              <w:rPr>
                <w:rFonts w:eastAsia="方正仿宋_GBK"/>
                <w:sz w:val="19"/>
              </w:rPr>
              <w:t>3.1.5</w:t>
            </w:r>
          </w:p>
        </w:tc>
        <w:tc>
          <w:tcPr>
            <w:tcW w:w="1441" w:type="dxa"/>
            <w:tcMar>
              <w:top w:w="90" w:type="dxa"/>
              <w:left w:w="130" w:type="dxa"/>
              <w:bottom w:w="90" w:type="dxa"/>
              <w:right w:w="130" w:type="dxa"/>
            </w:tcMar>
            <w:vAlign w:val="center"/>
          </w:tcPr>
          <w:p w14:paraId="65478778">
            <w:pPr>
              <w:spacing w:line="320" w:lineRule="exact"/>
              <w:jc w:val="left"/>
            </w:pPr>
            <w:r>
              <w:rPr>
                <w:rFonts w:eastAsia="方正仿宋_GBK"/>
                <w:sz w:val="19"/>
              </w:rPr>
              <w:t>操作系统监控</w:t>
            </w:r>
          </w:p>
        </w:tc>
        <w:tc>
          <w:tcPr>
            <w:tcW w:w="1966" w:type="dxa"/>
            <w:tcMar>
              <w:top w:w="90" w:type="dxa"/>
              <w:left w:w="130" w:type="dxa"/>
              <w:bottom w:w="90" w:type="dxa"/>
              <w:right w:w="130" w:type="dxa"/>
            </w:tcMar>
            <w:vAlign w:val="center"/>
          </w:tcPr>
          <w:p w14:paraId="0424F797">
            <w:pPr>
              <w:spacing w:line="320" w:lineRule="exact"/>
              <w:jc w:val="left"/>
            </w:pPr>
            <w:r>
              <w:rPr>
                <w:rFonts w:eastAsia="方正仿宋_GBK"/>
                <w:sz w:val="19"/>
              </w:rPr>
              <w:t>轻量化跨平台Agent</w:t>
            </w:r>
          </w:p>
        </w:tc>
        <w:tc>
          <w:tcPr>
            <w:tcW w:w="4958" w:type="dxa"/>
            <w:tcMar>
              <w:top w:w="90" w:type="dxa"/>
              <w:left w:w="130" w:type="dxa"/>
              <w:bottom w:w="90" w:type="dxa"/>
              <w:right w:w="130" w:type="dxa"/>
            </w:tcMar>
            <w:vAlign w:val="center"/>
          </w:tcPr>
          <w:p w14:paraId="193B0C09">
            <w:pPr>
              <w:spacing w:line="320" w:lineRule="exact"/>
              <w:jc w:val="left"/>
            </w:pPr>
            <w:r>
              <w:rPr>
                <w:rFonts w:eastAsia="方正仿宋_GBK"/>
                <w:sz w:val="19"/>
              </w:rPr>
              <w:t>纳管Windows Server及各种Linux版本（含CentOS、RedHat、Ubuntu、麒麟Kylin、统信UOS等）。监控指标包括：CPU使用率与运行队列、内存实际占用与Page Fault、磁盘分区与Inode利用率；关键业务系统后台守护进程与系统服务运行状态监控；系统补丁与内核日志安全审计。</w:t>
            </w:r>
          </w:p>
        </w:tc>
      </w:tr>
      <w:tr w14:paraId="2AA490C0">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880" w:type="dxa"/>
            <w:shd w:val="clear" w:color="auto" w:fill="F9FBFC"/>
            <w:tcMar>
              <w:top w:w="90" w:type="dxa"/>
              <w:left w:w="130" w:type="dxa"/>
              <w:bottom w:w="90" w:type="dxa"/>
              <w:right w:w="130" w:type="dxa"/>
            </w:tcMar>
            <w:vAlign w:val="center"/>
          </w:tcPr>
          <w:p w14:paraId="64D6246C">
            <w:pPr>
              <w:spacing w:line="320" w:lineRule="exact"/>
              <w:jc w:val="center"/>
            </w:pPr>
            <w:r>
              <w:rPr>
                <w:rFonts w:eastAsia="方正仿宋_GBK"/>
                <w:sz w:val="19"/>
              </w:rPr>
              <w:t>3.1.6</w:t>
            </w:r>
          </w:p>
        </w:tc>
        <w:tc>
          <w:tcPr>
            <w:tcW w:w="1441" w:type="dxa"/>
            <w:shd w:val="clear" w:color="auto" w:fill="F9FBFC"/>
            <w:tcMar>
              <w:top w:w="90" w:type="dxa"/>
              <w:left w:w="130" w:type="dxa"/>
              <w:bottom w:w="90" w:type="dxa"/>
              <w:right w:w="130" w:type="dxa"/>
            </w:tcMar>
            <w:vAlign w:val="center"/>
          </w:tcPr>
          <w:p w14:paraId="06402758">
            <w:pPr>
              <w:spacing w:line="320" w:lineRule="exact"/>
              <w:jc w:val="left"/>
            </w:pPr>
            <w:r>
              <w:rPr>
                <w:rFonts w:eastAsia="方正仿宋_GBK"/>
                <w:sz w:val="19"/>
              </w:rPr>
              <w:t>数据库系统监控</w:t>
            </w:r>
          </w:p>
        </w:tc>
        <w:tc>
          <w:tcPr>
            <w:tcW w:w="1966" w:type="dxa"/>
            <w:shd w:val="clear" w:color="auto" w:fill="F9FBFC"/>
            <w:tcMar>
              <w:top w:w="90" w:type="dxa"/>
              <w:left w:w="130" w:type="dxa"/>
              <w:bottom w:w="90" w:type="dxa"/>
              <w:right w:w="130" w:type="dxa"/>
            </w:tcMar>
            <w:vAlign w:val="center"/>
          </w:tcPr>
          <w:p w14:paraId="663201DB">
            <w:pPr>
              <w:spacing w:line="320" w:lineRule="exact"/>
              <w:jc w:val="left"/>
            </w:pPr>
            <w:r>
              <w:rPr>
                <w:rFonts w:eastAsia="方正仿宋_GBK"/>
                <w:sz w:val="19"/>
              </w:rPr>
              <w:t>JDBC/ODBC、数据库专有API</w:t>
            </w:r>
          </w:p>
        </w:tc>
        <w:tc>
          <w:tcPr>
            <w:tcW w:w="4958" w:type="dxa"/>
            <w:shd w:val="clear" w:color="auto" w:fill="F9FBFC"/>
            <w:tcMar>
              <w:top w:w="90" w:type="dxa"/>
              <w:left w:w="130" w:type="dxa"/>
              <w:bottom w:w="90" w:type="dxa"/>
              <w:right w:w="130" w:type="dxa"/>
            </w:tcMar>
            <w:vAlign w:val="center"/>
          </w:tcPr>
          <w:p w14:paraId="277E12D1">
            <w:pPr>
              <w:spacing w:line="320" w:lineRule="exact"/>
              <w:jc w:val="left"/>
            </w:pPr>
            <w:r>
              <w:rPr>
                <w:rFonts w:eastAsia="方正仿宋_GBK"/>
                <w:sz w:val="19"/>
              </w:rPr>
              <w:t>覆盖Oracle、MySQL、PostgreSQL，以及达梦（DM）、人大金仓（KingbaseES）等国产主流数据库。监控指标包括：数据库活动连接数、会话总数、锁等待与死锁事件；表空间/数据文件容量与增长率；长事务、阻塞会话、全表扫描；慢SQL语句捕获及执行计划分析；主从复制延迟、归档日志状态及缓存命中率。</w:t>
            </w:r>
          </w:p>
        </w:tc>
      </w:tr>
      <w:tr w14:paraId="67370FC0">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880" w:type="dxa"/>
            <w:tcMar>
              <w:top w:w="90" w:type="dxa"/>
              <w:left w:w="130" w:type="dxa"/>
              <w:bottom w:w="90" w:type="dxa"/>
              <w:right w:w="130" w:type="dxa"/>
            </w:tcMar>
            <w:vAlign w:val="center"/>
          </w:tcPr>
          <w:p w14:paraId="0651F1C4">
            <w:pPr>
              <w:spacing w:line="320" w:lineRule="exact"/>
              <w:jc w:val="center"/>
            </w:pPr>
            <w:r>
              <w:rPr>
                <w:rFonts w:eastAsia="方正仿宋_GBK"/>
                <w:sz w:val="19"/>
              </w:rPr>
              <w:t>3.1.7</w:t>
            </w:r>
          </w:p>
        </w:tc>
        <w:tc>
          <w:tcPr>
            <w:tcW w:w="1441" w:type="dxa"/>
            <w:tcMar>
              <w:top w:w="90" w:type="dxa"/>
              <w:left w:w="130" w:type="dxa"/>
              <w:bottom w:w="90" w:type="dxa"/>
              <w:right w:w="130" w:type="dxa"/>
            </w:tcMar>
            <w:vAlign w:val="center"/>
          </w:tcPr>
          <w:p w14:paraId="10B4A1C8">
            <w:pPr>
              <w:spacing w:line="320" w:lineRule="exact"/>
              <w:jc w:val="left"/>
            </w:pPr>
            <w:r>
              <w:rPr>
                <w:rFonts w:eastAsia="方正仿宋_GBK"/>
                <w:sz w:val="19"/>
              </w:rPr>
              <w:t>中间件系统监控</w:t>
            </w:r>
          </w:p>
        </w:tc>
        <w:tc>
          <w:tcPr>
            <w:tcW w:w="1966" w:type="dxa"/>
            <w:tcMar>
              <w:top w:w="90" w:type="dxa"/>
              <w:left w:w="130" w:type="dxa"/>
              <w:bottom w:w="90" w:type="dxa"/>
              <w:right w:w="130" w:type="dxa"/>
            </w:tcMar>
            <w:vAlign w:val="center"/>
          </w:tcPr>
          <w:p w14:paraId="7CAF2442">
            <w:pPr>
              <w:spacing w:line="320" w:lineRule="exact"/>
              <w:jc w:val="left"/>
            </w:pPr>
            <w:r>
              <w:rPr>
                <w:rFonts w:eastAsia="方正仿宋_GBK"/>
                <w:sz w:val="19"/>
              </w:rPr>
              <w:t>JMX、REST API、Prometheus Exporter</w:t>
            </w:r>
          </w:p>
        </w:tc>
        <w:tc>
          <w:tcPr>
            <w:tcW w:w="4958" w:type="dxa"/>
            <w:tcMar>
              <w:top w:w="90" w:type="dxa"/>
              <w:left w:w="130" w:type="dxa"/>
              <w:bottom w:w="90" w:type="dxa"/>
              <w:right w:w="130" w:type="dxa"/>
            </w:tcMar>
            <w:vAlign w:val="center"/>
          </w:tcPr>
          <w:p w14:paraId="660EF76D">
            <w:pPr>
              <w:spacing w:line="320" w:lineRule="exact"/>
              <w:jc w:val="left"/>
            </w:pPr>
            <w:r>
              <w:rPr>
                <w:rFonts w:eastAsia="方正仿宋_GBK"/>
                <w:sz w:val="19"/>
              </w:rPr>
              <w:t>覆盖Tomcat、WebLogic、Nginx，以及东方通TongWeb、金蝶Apusic等国产中间件，并纳管Redis、Kafka、RabbitMQ等。监控指标包括：JVM堆内存/非堆内存分配与使用、垃圾回收（GC）频次与耗时；活动线程数、线程池峰值与等待数；HTTP请求响应时间、并发请求数、连接池占用率；消息队列深度与消费积压监控。</w:t>
            </w:r>
          </w:p>
        </w:tc>
      </w:tr>
      <w:tr w14:paraId="5E6B6619">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880" w:type="dxa"/>
            <w:shd w:val="clear" w:color="auto" w:fill="F9FBFC"/>
            <w:tcMar>
              <w:top w:w="90" w:type="dxa"/>
              <w:left w:w="130" w:type="dxa"/>
              <w:bottom w:w="90" w:type="dxa"/>
              <w:right w:w="130" w:type="dxa"/>
            </w:tcMar>
            <w:vAlign w:val="center"/>
          </w:tcPr>
          <w:p w14:paraId="46641BF4">
            <w:pPr>
              <w:spacing w:line="320" w:lineRule="exact"/>
              <w:jc w:val="center"/>
            </w:pPr>
            <w:r>
              <w:rPr>
                <w:rFonts w:eastAsia="方正仿宋_GBK"/>
                <w:sz w:val="19"/>
              </w:rPr>
              <w:t>3.1.8</w:t>
            </w:r>
          </w:p>
        </w:tc>
        <w:tc>
          <w:tcPr>
            <w:tcW w:w="1441" w:type="dxa"/>
            <w:shd w:val="clear" w:color="auto" w:fill="F9FBFC"/>
            <w:tcMar>
              <w:top w:w="90" w:type="dxa"/>
              <w:left w:w="130" w:type="dxa"/>
              <w:bottom w:w="90" w:type="dxa"/>
              <w:right w:w="130" w:type="dxa"/>
            </w:tcMar>
            <w:vAlign w:val="center"/>
          </w:tcPr>
          <w:p w14:paraId="09914C5D">
            <w:pPr>
              <w:spacing w:line="320" w:lineRule="exact"/>
              <w:jc w:val="left"/>
            </w:pPr>
            <w:r>
              <w:rPr>
                <w:rFonts w:eastAsia="方正仿宋_GBK"/>
                <w:sz w:val="19"/>
              </w:rPr>
              <w:t>中心机房动环监控</w:t>
            </w:r>
          </w:p>
        </w:tc>
        <w:tc>
          <w:tcPr>
            <w:tcW w:w="1966" w:type="dxa"/>
            <w:shd w:val="clear" w:color="auto" w:fill="F9FBFC"/>
            <w:tcMar>
              <w:top w:w="90" w:type="dxa"/>
              <w:left w:w="130" w:type="dxa"/>
              <w:bottom w:w="90" w:type="dxa"/>
              <w:right w:w="130" w:type="dxa"/>
            </w:tcMar>
            <w:vAlign w:val="center"/>
          </w:tcPr>
          <w:p w14:paraId="262B54C4">
            <w:pPr>
              <w:spacing w:line="320" w:lineRule="exact"/>
              <w:jc w:val="left"/>
            </w:pPr>
            <w:r>
              <w:rPr>
                <w:rFonts w:eastAsia="方正仿宋_GBK"/>
                <w:sz w:val="19"/>
              </w:rPr>
              <w:t>Modbus/TCP、Modbus/RTU、SNMP、SDK</w:t>
            </w:r>
          </w:p>
        </w:tc>
        <w:tc>
          <w:tcPr>
            <w:tcW w:w="4958" w:type="dxa"/>
            <w:shd w:val="clear" w:color="auto" w:fill="F9FBFC"/>
            <w:tcMar>
              <w:top w:w="90" w:type="dxa"/>
              <w:left w:w="130" w:type="dxa"/>
              <w:bottom w:w="90" w:type="dxa"/>
              <w:right w:w="130" w:type="dxa"/>
            </w:tcMar>
            <w:vAlign w:val="center"/>
          </w:tcPr>
          <w:p w14:paraId="675FB9E5">
            <w:pPr>
              <w:spacing w:line="320" w:lineRule="exact"/>
              <w:jc w:val="left"/>
            </w:pPr>
            <w:r>
              <w:rPr>
                <w:rFonts w:eastAsia="方正仿宋_GBK"/>
                <w:sz w:val="19"/>
              </w:rPr>
              <w:t>与中心机房动环监控系统深度对接。监控指标包括：高低压配电柜电压、电流、有功功率；UPS主机输入/输出参数、电池后备续航时间；机房精密空调运行状态、设定温度/实际温度、漏水绳检测；机房重点区域温湿度分布网格、门禁出入日志与烟雾告警状态。</w:t>
            </w:r>
          </w:p>
        </w:tc>
      </w:tr>
    </w:tbl>
    <w:p w14:paraId="5938BA1A">
      <w:pPr>
        <w:spacing w:before="20" w:after="40" w:line="380" w:lineRule="exact"/>
        <w:rPr>
          <w:rFonts w:eastAsia="方正仿宋_GBK"/>
          <w:sz w:val="24"/>
        </w:rPr>
      </w:pPr>
    </w:p>
    <w:p w14:paraId="70485C4C">
      <w:pPr>
        <w:spacing w:before="20" w:after="40" w:line="380" w:lineRule="exact"/>
        <w:ind w:firstLine="480" w:firstLineChars="200"/>
        <w:rPr>
          <w:rFonts w:eastAsia="方正仿宋_GBK"/>
          <w:sz w:val="24"/>
        </w:rPr>
      </w:pPr>
      <w:r>
        <w:rPr>
          <w:rFonts w:eastAsia="方正仿宋_GBK"/>
          <w:sz w:val="24"/>
        </w:rPr>
        <w:t>3.2 智能告警管理与根因分析（AIOps）模块</w:t>
      </w:r>
    </w:p>
    <w:tbl>
      <w:tblPr>
        <w:tblStyle w:val="57"/>
        <w:tblW w:w="9477" w:type="dxa"/>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1041"/>
        <w:gridCol w:w="2358"/>
        <w:gridCol w:w="6078"/>
      </w:tblGrid>
      <w:tr w14:paraId="46551F6E">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blHeader/>
          <w:jc w:val="center"/>
        </w:trPr>
        <w:tc>
          <w:tcPr>
            <w:tcW w:w="1041" w:type="dxa"/>
            <w:shd w:val="clear" w:color="auto" w:fill="EBF1F8"/>
            <w:tcMar>
              <w:top w:w="120" w:type="dxa"/>
              <w:left w:w="140" w:type="dxa"/>
              <w:bottom w:w="120" w:type="dxa"/>
              <w:right w:w="140" w:type="dxa"/>
            </w:tcMar>
            <w:vAlign w:val="center"/>
          </w:tcPr>
          <w:p w14:paraId="2309BC2F">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序号</w:t>
            </w:r>
          </w:p>
        </w:tc>
        <w:tc>
          <w:tcPr>
            <w:tcW w:w="2358" w:type="dxa"/>
            <w:shd w:val="clear" w:color="auto" w:fill="EBF1F8"/>
            <w:tcMar>
              <w:top w:w="120" w:type="dxa"/>
              <w:left w:w="140" w:type="dxa"/>
              <w:bottom w:w="120" w:type="dxa"/>
              <w:right w:w="140" w:type="dxa"/>
            </w:tcMar>
            <w:vAlign w:val="center"/>
          </w:tcPr>
          <w:p w14:paraId="47851231">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功能模块</w:t>
            </w:r>
          </w:p>
        </w:tc>
        <w:tc>
          <w:tcPr>
            <w:tcW w:w="6078" w:type="dxa"/>
            <w:shd w:val="clear" w:color="auto" w:fill="EBF1F8"/>
            <w:tcMar>
              <w:top w:w="120" w:type="dxa"/>
              <w:left w:w="140" w:type="dxa"/>
              <w:bottom w:w="120" w:type="dxa"/>
              <w:right w:w="140" w:type="dxa"/>
            </w:tcMar>
            <w:vAlign w:val="center"/>
          </w:tcPr>
          <w:p w14:paraId="5717C7B4">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详细技术规格与功能说明</w:t>
            </w:r>
          </w:p>
        </w:tc>
      </w:tr>
      <w:tr w14:paraId="21E92FC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41" w:type="dxa"/>
            <w:tcMar>
              <w:top w:w="90" w:type="dxa"/>
              <w:left w:w="130" w:type="dxa"/>
              <w:bottom w:w="90" w:type="dxa"/>
              <w:right w:w="130" w:type="dxa"/>
            </w:tcMar>
            <w:vAlign w:val="center"/>
          </w:tcPr>
          <w:p w14:paraId="4AA38D09">
            <w:pPr>
              <w:spacing w:line="320" w:lineRule="exact"/>
              <w:jc w:val="center"/>
            </w:pPr>
            <w:r>
              <w:rPr>
                <w:rFonts w:eastAsia="方正仿宋_GBK"/>
                <w:sz w:val="19"/>
              </w:rPr>
              <w:t>3.2.1</w:t>
            </w:r>
          </w:p>
        </w:tc>
        <w:tc>
          <w:tcPr>
            <w:tcW w:w="2358" w:type="dxa"/>
            <w:tcMar>
              <w:top w:w="90" w:type="dxa"/>
              <w:left w:w="130" w:type="dxa"/>
              <w:bottom w:w="90" w:type="dxa"/>
              <w:right w:w="130" w:type="dxa"/>
            </w:tcMar>
            <w:vAlign w:val="center"/>
          </w:tcPr>
          <w:p w14:paraId="7F667672">
            <w:pPr>
              <w:spacing w:line="320" w:lineRule="exact"/>
              <w:jc w:val="left"/>
            </w:pPr>
            <w:r>
              <w:rPr>
                <w:rFonts w:eastAsia="方正仿宋_GBK"/>
                <w:sz w:val="19"/>
              </w:rPr>
              <w:t>多级阈值与告警模型</w:t>
            </w:r>
          </w:p>
        </w:tc>
        <w:tc>
          <w:tcPr>
            <w:tcW w:w="6078" w:type="dxa"/>
            <w:tcMar>
              <w:top w:w="90" w:type="dxa"/>
              <w:left w:w="130" w:type="dxa"/>
              <w:bottom w:w="90" w:type="dxa"/>
              <w:right w:w="130" w:type="dxa"/>
            </w:tcMar>
            <w:vAlign w:val="center"/>
          </w:tcPr>
          <w:p w14:paraId="18DAEE00">
            <w:pPr>
              <w:spacing w:line="320" w:lineRule="exact"/>
              <w:jc w:val="left"/>
            </w:pPr>
            <w:r>
              <w:rPr>
                <w:rFonts w:eastAsia="方正仿宋_GBK"/>
                <w:sz w:val="19"/>
              </w:rPr>
              <w:t>支持对所有监控对象及指标自定义设置四级告警（紧急、重要、次要、提示）；支持绝对阈值、相对突增突降阈值、周期环比阈值等多种告警判断规则；支持告警模板批量应用与继承机制。</w:t>
            </w:r>
          </w:p>
        </w:tc>
      </w:tr>
      <w:tr w14:paraId="2865EC4C">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41" w:type="dxa"/>
            <w:shd w:val="clear" w:color="auto" w:fill="F9FBFC"/>
            <w:tcMar>
              <w:top w:w="90" w:type="dxa"/>
              <w:left w:w="130" w:type="dxa"/>
              <w:bottom w:w="90" w:type="dxa"/>
              <w:right w:w="130" w:type="dxa"/>
            </w:tcMar>
            <w:vAlign w:val="center"/>
          </w:tcPr>
          <w:p w14:paraId="09DA7422">
            <w:pPr>
              <w:spacing w:line="320" w:lineRule="exact"/>
              <w:jc w:val="center"/>
            </w:pPr>
            <w:r>
              <w:rPr>
                <w:rFonts w:eastAsia="方正仿宋_GBK"/>
                <w:sz w:val="19"/>
              </w:rPr>
              <w:t>3.2.2</w:t>
            </w:r>
          </w:p>
        </w:tc>
        <w:tc>
          <w:tcPr>
            <w:tcW w:w="2358" w:type="dxa"/>
            <w:shd w:val="clear" w:color="auto" w:fill="F9FBFC"/>
            <w:tcMar>
              <w:top w:w="90" w:type="dxa"/>
              <w:left w:w="130" w:type="dxa"/>
              <w:bottom w:w="90" w:type="dxa"/>
              <w:right w:w="130" w:type="dxa"/>
            </w:tcMar>
            <w:vAlign w:val="center"/>
          </w:tcPr>
          <w:p w14:paraId="1CA5EE7B">
            <w:pPr>
              <w:spacing w:line="320" w:lineRule="exact"/>
              <w:jc w:val="left"/>
            </w:pPr>
            <w:r>
              <w:rPr>
                <w:rFonts w:eastAsia="方正仿宋_GBK"/>
                <w:sz w:val="19"/>
              </w:rPr>
              <w:t>多维收敛与告警风暴抑制</w:t>
            </w:r>
          </w:p>
        </w:tc>
        <w:tc>
          <w:tcPr>
            <w:tcW w:w="6078" w:type="dxa"/>
            <w:shd w:val="clear" w:color="auto" w:fill="F9FBFC"/>
            <w:tcMar>
              <w:top w:w="90" w:type="dxa"/>
              <w:left w:w="130" w:type="dxa"/>
              <w:bottom w:w="90" w:type="dxa"/>
              <w:right w:w="130" w:type="dxa"/>
            </w:tcMar>
            <w:vAlign w:val="center"/>
          </w:tcPr>
          <w:p w14:paraId="24BAAC04">
            <w:pPr>
              <w:spacing w:line="320" w:lineRule="exact"/>
              <w:jc w:val="left"/>
            </w:pPr>
            <w:r>
              <w:rPr>
                <w:rFonts w:eastAsia="方正仿宋_GBK"/>
                <w:sz w:val="19"/>
              </w:rPr>
              <w:t>提供多维度的告警智能收敛与抑制策略：①告警合并（相同对象在时间窗口内的重复告警自动合并计数）；②闪断抑制（指标抖动在设定周期内自愈则自动抑制）；③维护期静默（指定设备处于检修维护计划内时完全静默）；④拓扑依赖抑制（核心交换机故障时自动抑制下游全量从属设备的次生告警，防范告警风暴）。</w:t>
            </w:r>
          </w:p>
        </w:tc>
      </w:tr>
      <w:tr w14:paraId="2C92312C">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rHeight w:val="2041" w:hRule="atLeast"/>
          <w:jc w:val="center"/>
        </w:trPr>
        <w:tc>
          <w:tcPr>
            <w:tcW w:w="1041" w:type="dxa"/>
            <w:tcMar>
              <w:top w:w="90" w:type="dxa"/>
              <w:left w:w="130" w:type="dxa"/>
              <w:bottom w:w="90" w:type="dxa"/>
              <w:right w:w="130" w:type="dxa"/>
            </w:tcMar>
            <w:vAlign w:val="center"/>
          </w:tcPr>
          <w:p w14:paraId="6926E717">
            <w:pPr>
              <w:spacing w:line="320" w:lineRule="exact"/>
              <w:jc w:val="center"/>
            </w:pPr>
            <w:r>
              <w:rPr>
                <w:rFonts w:eastAsia="方正仿宋_GBK"/>
                <w:sz w:val="19"/>
              </w:rPr>
              <w:t>3.2.3</w:t>
            </w:r>
          </w:p>
        </w:tc>
        <w:tc>
          <w:tcPr>
            <w:tcW w:w="2358" w:type="dxa"/>
            <w:tcMar>
              <w:top w:w="90" w:type="dxa"/>
              <w:left w:w="130" w:type="dxa"/>
              <w:bottom w:w="90" w:type="dxa"/>
              <w:right w:w="130" w:type="dxa"/>
            </w:tcMar>
            <w:vAlign w:val="center"/>
          </w:tcPr>
          <w:p w14:paraId="147C4223">
            <w:pPr>
              <w:spacing w:line="320" w:lineRule="exact"/>
              <w:jc w:val="left"/>
            </w:pPr>
            <w:r>
              <w:rPr>
                <w:rFonts w:eastAsia="方正仿宋_GBK"/>
                <w:sz w:val="19"/>
              </w:rPr>
              <w:t>基于AIOps的智能动态基线</w:t>
            </w:r>
          </w:p>
        </w:tc>
        <w:tc>
          <w:tcPr>
            <w:tcW w:w="6078" w:type="dxa"/>
            <w:tcMar>
              <w:top w:w="90" w:type="dxa"/>
              <w:left w:w="130" w:type="dxa"/>
              <w:bottom w:w="90" w:type="dxa"/>
              <w:right w:w="130" w:type="dxa"/>
            </w:tcMar>
            <w:vAlign w:val="center"/>
          </w:tcPr>
          <w:p w14:paraId="7E01F7F3">
            <w:pPr>
              <w:spacing w:line="320" w:lineRule="exact"/>
              <w:jc w:val="left"/>
            </w:pPr>
            <w:r>
              <w:rPr>
                <w:rFonts w:eastAsia="方正仿宋_GBK"/>
                <w:sz w:val="19"/>
              </w:rPr>
              <w:t>平台内置机器学习算法引擎，基于业务指标的历史周期数据（支持工作日、周末、节假日等多重周期模式）自动学习并拟合指标运行基线，生成动态浮动置信区间。当指标偏离动态基线时触发预警，无需人工繁琐设置静态阈值。验收评估方法：采集HIS或核心交换机连续不少于14天的真实业务数据作为基准训练集，通过注入模拟负载突增测试基线动态贴合度，要求误报率较传统固定阈值降低≥30%。</w:t>
            </w:r>
          </w:p>
        </w:tc>
      </w:tr>
      <w:tr w14:paraId="52EEB29F">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41" w:type="dxa"/>
            <w:shd w:val="clear" w:color="auto" w:fill="F9FBFC"/>
            <w:tcMar>
              <w:top w:w="90" w:type="dxa"/>
              <w:left w:w="130" w:type="dxa"/>
              <w:bottom w:w="90" w:type="dxa"/>
              <w:right w:w="130" w:type="dxa"/>
            </w:tcMar>
            <w:vAlign w:val="center"/>
          </w:tcPr>
          <w:p w14:paraId="7F751D41">
            <w:pPr>
              <w:spacing w:line="320" w:lineRule="exact"/>
              <w:jc w:val="center"/>
            </w:pPr>
            <w:r>
              <w:rPr>
                <w:rFonts w:eastAsia="方正仿宋_GBK"/>
                <w:sz w:val="19"/>
              </w:rPr>
              <w:t>3.2.4</w:t>
            </w:r>
          </w:p>
        </w:tc>
        <w:tc>
          <w:tcPr>
            <w:tcW w:w="2358" w:type="dxa"/>
            <w:shd w:val="clear" w:color="auto" w:fill="F9FBFC"/>
            <w:tcMar>
              <w:top w:w="90" w:type="dxa"/>
              <w:left w:w="130" w:type="dxa"/>
              <w:bottom w:w="90" w:type="dxa"/>
              <w:right w:w="130" w:type="dxa"/>
            </w:tcMar>
            <w:vAlign w:val="center"/>
          </w:tcPr>
          <w:p w14:paraId="4AF03043">
            <w:pPr>
              <w:spacing w:line="320" w:lineRule="exact"/>
              <w:jc w:val="left"/>
            </w:pPr>
            <w:r>
              <w:rPr>
                <w:rFonts w:eastAsia="方正仿宋_GBK"/>
                <w:sz w:val="19"/>
              </w:rPr>
              <w:t>故障根因智能分析（RCA）</w:t>
            </w:r>
          </w:p>
        </w:tc>
        <w:tc>
          <w:tcPr>
            <w:tcW w:w="6078" w:type="dxa"/>
            <w:shd w:val="clear" w:color="auto" w:fill="F9FBFC"/>
            <w:tcMar>
              <w:top w:w="90" w:type="dxa"/>
              <w:left w:w="130" w:type="dxa"/>
              <w:bottom w:w="90" w:type="dxa"/>
              <w:right w:w="130" w:type="dxa"/>
            </w:tcMar>
            <w:vAlign w:val="center"/>
          </w:tcPr>
          <w:p w14:paraId="7B7858AC">
            <w:pPr>
              <w:spacing w:line="320" w:lineRule="exact"/>
              <w:jc w:val="left"/>
            </w:pPr>
            <w:r>
              <w:rPr>
                <w:rFonts w:eastAsia="方正仿宋_GBK"/>
                <w:sz w:val="19"/>
              </w:rPr>
              <w:t>基于全局CMDB物理拓扑与业务依赖逻辑树，在多维复合故障并发时，算法引擎自动对海量异常告警进行时间序列与空间拓扑关联推演，智能识别并标识首发根因故障节点与次生派生节点，直观输出根因分析树，辅助工程师分钟级锁定故障源头。验收评估方法：通过在模拟环境中注入典型网络上联断开或核心数据库进程终止故障，验证系统在30秒内输出的根因定位结论与实际故障源一致。</w:t>
            </w:r>
          </w:p>
        </w:tc>
      </w:tr>
      <w:tr w14:paraId="6D67FA61">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rHeight w:val="1205" w:hRule="atLeast"/>
          <w:jc w:val="center"/>
        </w:trPr>
        <w:tc>
          <w:tcPr>
            <w:tcW w:w="1041" w:type="dxa"/>
            <w:tcMar>
              <w:top w:w="90" w:type="dxa"/>
              <w:left w:w="130" w:type="dxa"/>
              <w:bottom w:w="90" w:type="dxa"/>
              <w:right w:w="130" w:type="dxa"/>
            </w:tcMar>
            <w:vAlign w:val="center"/>
          </w:tcPr>
          <w:p w14:paraId="2A476C95">
            <w:pPr>
              <w:spacing w:line="320" w:lineRule="exact"/>
              <w:jc w:val="center"/>
            </w:pPr>
            <w:r>
              <w:rPr>
                <w:rFonts w:eastAsia="方正仿宋_GBK"/>
                <w:sz w:val="19"/>
              </w:rPr>
              <w:t>3.2.5</w:t>
            </w:r>
          </w:p>
        </w:tc>
        <w:tc>
          <w:tcPr>
            <w:tcW w:w="2358" w:type="dxa"/>
            <w:tcMar>
              <w:top w:w="90" w:type="dxa"/>
              <w:left w:w="130" w:type="dxa"/>
              <w:bottom w:w="90" w:type="dxa"/>
              <w:right w:w="130" w:type="dxa"/>
            </w:tcMar>
            <w:vAlign w:val="center"/>
          </w:tcPr>
          <w:p w14:paraId="111D5C69">
            <w:pPr>
              <w:spacing w:line="320" w:lineRule="exact"/>
              <w:jc w:val="left"/>
            </w:pPr>
            <w:r>
              <w:rPr>
                <w:rFonts w:eastAsia="方正仿宋_GBK"/>
                <w:sz w:val="19"/>
              </w:rPr>
              <w:t>告警智能路由与超时升级</w:t>
            </w:r>
          </w:p>
        </w:tc>
        <w:tc>
          <w:tcPr>
            <w:tcW w:w="6078" w:type="dxa"/>
            <w:tcMar>
              <w:top w:w="90" w:type="dxa"/>
              <w:left w:w="130" w:type="dxa"/>
              <w:bottom w:w="90" w:type="dxa"/>
              <w:right w:w="130" w:type="dxa"/>
            </w:tcMar>
            <w:vAlign w:val="center"/>
          </w:tcPr>
          <w:p w14:paraId="2E6ED82D">
            <w:pPr>
              <w:spacing w:line="320" w:lineRule="exact"/>
              <w:jc w:val="left"/>
            </w:pPr>
            <w:r>
              <w:rPr>
                <w:rFonts w:eastAsia="方正仿宋_GBK"/>
                <w:sz w:val="19"/>
              </w:rPr>
              <w:t>支持按告警级别、对象类别、所属科室、值班时段进行高度灵活的告警多路径路由分发；支持多级超时未确认/未处理升级策略（例如：重要告警发出5分钟未确认自动升级并呼叫值班组长，15分钟未处置自动推送信息科主任）。</w:t>
            </w:r>
          </w:p>
        </w:tc>
      </w:tr>
      <w:tr w14:paraId="543E6F6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41" w:type="dxa"/>
            <w:shd w:val="clear" w:color="auto" w:fill="F9FBFC"/>
            <w:tcMar>
              <w:top w:w="90" w:type="dxa"/>
              <w:left w:w="130" w:type="dxa"/>
              <w:bottom w:w="90" w:type="dxa"/>
              <w:right w:w="130" w:type="dxa"/>
            </w:tcMar>
            <w:vAlign w:val="center"/>
          </w:tcPr>
          <w:p w14:paraId="48FD58BE">
            <w:pPr>
              <w:spacing w:line="320" w:lineRule="exact"/>
              <w:jc w:val="center"/>
            </w:pPr>
            <w:r>
              <w:rPr>
                <w:rFonts w:eastAsia="方正仿宋_GBK"/>
                <w:sz w:val="19"/>
              </w:rPr>
              <w:t>3.2.6</w:t>
            </w:r>
          </w:p>
        </w:tc>
        <w:tc>
          <w:tcPr>
            <w:tcW w:w="2358" w:type="dxa"/>
            <w:shd w:val="clear" w:color="auto" w:fill="F9FBFC"/>
            <w:tcMar>
              <w:top w:w="90" w:type="dxa"/>
              <w:left w:w="130" w:type="dxa"/>
              <w:bottom w:w="90" w:type="dxa"/>
              <w:right w:w="130" w:type="dxa"/>
            </w:tcMar>
            <w:vAlign w:val="center"/>
          </w:tcPr>
          <w:p w14:paraId="3A425474">
            <w:pPr>
              <w:spacing w:line="320" w:lineRule="exact"/>
              <w:jc w:val="left"/>
            </w:pPr>
            <w:r>
              <w:rPr>
                <w:rFonts w:eastAsia="方正仿宋_GBK"/>
                <w:sz w:val="19"/>
              </w:rPr>
              <w:t>告警闭环与一键转工单</w:t>
            </w:r>
          </w:p>
        </w:tc>
        <w:tc>
          <w:tcPr>
            <w:tcW w:w="6078" w:type="dxa"/>
            <w:shd w:val="clear" w:color="auto" w:fill="F9FBFC"/>
            <w:tcMar>
              <w:top w:w="90" w:type="dxa"/>
              <w:left w:w="130" w:type="dxa"/>
              <w:bottom w:w="90" w:type="dxa"/>
              <w:right w:w="130" w:type="dxa"/>
            </w:tcMar>
            <w:vAlign w:val="center"/>
          </w:tcPr>
          <w:p w14:paraId="1DAEC168">
            <w:pPr>
              <w:spacing w:line="320" w:lineRule="exact"/>
              <w:jc w:val="left"/>
            </w:pPr>
            <w:r>
              <w:rPr>
                <w:rFonts w:eastAsia="方正仿宋_GBK"/>
                <w:sz w:val="19"/>
              </w:rPr>
              <w:t>监控告警界面提供一键生成运维工单功能，工单自动继承故障设备、发生时间、当前指标、告警级别等全部上下文参数；支持根据预设规则（如紧急告警）自动生成工单并分派至值班工程师，形成“发现—分派—处置—复核—关闭”的100%全流程闭环留痕。</w:t>
            </w:r>
          </w:p>
        </w:tc>
      </w:tr>
    </w:tbl>
    <w:p w14:paraId="2F1E075B">
      <w:pPr>
        <w:spacing w:before="20" w:after="40" w:line="380" w:lineRule="exact"/>
        <w:ind w:firstLine="480" w:firstLineChars="200"/>
        <w:rPr>
          <w:rFonts w:eastAsia="方正仿宋_GBK"/>
          <w:sz w:val="24"/>
        </w:rPr>
      </w:pPr>
      <w:r>
        <w:rPr>
          <w:rFonts w:eastAsia="方正仿宋_GBK"/>
          <w:sz w:val="24"/>
        </w:rPr>
        <w:t>3.3 运维可视化展现与拓扑管理模块</w:t>
      </w:r>
    </w:p>
    <w:tbl>
      <w:tblPr>
        <w:tblStyle w:val="57"/>
        <w:tblW w:w="0" w:type="auto"/>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1024"/>
        <w:gridCol w:w="2318"/>
        <w:gridCol w:w="6060"/>
      </w:tblGrid>
      <w:tr w14:paraId="7C7A87BC">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blHeader/>
          <w:jc w:val="center"/>
        </w:trPr>
        <w:tc>
          <w:tcPr>
            <w:tcW w:w="1024" w:type="dxa"/>
            <w:shd w:val="clear" w:color="auto" w:fill="EBF1F8"/>
            <w:tcMar>
              <w:top w:w="120" w:type="dxa"/>
              <w:left w:w="140" w:type="dxa"/>
              <w:bottom w:w="120" w:type="dxa"/>
              <w:right w:w="140" w:type="dxa"/>
            </w:tcMar>
            <w:vAlign w:val="center"/>
          </w:tcPr>
          <w:p w14:paraId="2E0D03B4">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序号</w:t>
            </w:r>
          </w:p>
        </w:tc>
        <w:tc>
          <w:tcPr>
            <w:tcW w:w="2318" w:type="dxa"/>
            <w:shd w:val="clear" w:color="auto" w:fill="EBF1F8"/>
            <w:tcMar>
              <w:top w:w="120" w:type="dxa"/>
              <w:left w:w="140" w:type="dxa"/>
              <w:bottom w:w="120" w:type="dxa"/>
              <w:right w:w="140" w:type="dxa"/>
            </w:tcMar>
            <w:vAlign w:val="center"/>
          </w:tcPr>
          <w:p w14:paraId="4453DB78">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功能模块</w:t>
            </w:r>
          </w:p>
        </w:tc>
        <w:tc>
          <w:tcPr>
            <w:tcW w:w="6060" w:type="dxa"/>
            <w:shd w:val="clear" w:color="auto" w:fill="EBF1F8"/>
            <w:tcMar>
              <w:top w:w="120" w:type="dxa"/>
              <w:left w:w="140" w:type="dxa"/>
              <w:bottom w:w="120" w:type="dxa"/>
              <w:right w:w="140" w:type="dxa"/>
            </w:tcMar>
            <w:vAlign w:val="center"/>
          </w:tcPr>
          <w:p w14:paraId="60176495">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详细技术规格与功能说明</w:t>
            </w:r>
          </w:p>
        </w:tc>
      </w:tr>
      <w:tr w14:paraId="724A639E">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rHeight w:val="1306" w:hRule="atLeast"/>
          <w:jc w:val="center"/>
        </w:trPr>
        <w:tc>
          <w:tcPr>
            <w:tcW w:w="1024" w:type="dxa"/>
            <w:tcMar>
              <w:top w:w="90" w:type="dxa"/>
              <w:left w:w="130" w:type="dxa"/>
              <w:bottom w:w="90" w:type="dxa"/>
              <w:right w:w="130" w:type="dxa"/>
            </w:tcMar>
            <w:vAlign w:val="center"/>
          </w:tcPr>
          <w:p w14:paraId="03B62ED0">
            <w:pPr>
              <w:spacing w:line="320" w:lineRule="exact"/>
              <w:jc w:val="center"/>
            </w:pPr>
            <w:r>
              <w:rPr>
                <w:rFonts w:eastAsia="方正黑体_GBK"/>
                <w:bCs/>
                <w:sz w:val="19"/>
              </w:rPr>
              <w:t>3.3.1</w:t>
            </w:r>
          </w:p>
        </w:tc>
        <w:tc>
          <w:tcPr>
            <w:tcW w:w="2318" w:type="dxa"/>
            <w:tcMar>
              <w:top w:w="90" w:type="dxa"/>
              <w:left w:w="130" w:type="dxa"/>
              <w:bottom w:w="90" w:type="dxa"/>
              <w:right w:w="130" w:type="dxa"/>
            </w:tcMar>
            <w:vAlign w:val="center"/>
          </w:tcPr>
          <w:p w14:paraId="7F2E8A3F">
            <w:pPr>
              <w:spacing w:line="320" w:lineRule="exact"/>
              <w:jc w:val="left"/>
            </w:pPr>
            <w:r>
              <w:rPr>
                <w:rFonts w:eastAsia="方正仿宋_GBK"/>
                <w:sz w:val="19"/>
              </w:rPr>
              <w:t>网络拓扑自动发现与绘制</w:t>
            </w:r>
          </w:p>
        </w:tc>
        <w:tc>
          <w:tcPr>
            <w:tcW w:w="6060" w:type="dxa"/>
            <w:tcMar>
              <w:top w:w="90" w:type="dxa"/>
              <w:left w:w="130" w:type="dxa"/>
              <w:bottom w:w="90" w:type="dxa"/>
              <w:right w:w="130" w:type="dxa"/>
            </w:tcMar>
            <w:vAlign w:val="center"/>
          </w:tcPr>
          <w:p w14:paraId="377A84EE">
            <w:pPr>
              <w:spacing w:line="320" w:lineRule="exact"/>
              <w:jc w:val="left"/>
            </w:pPr>
            <w:r>
              <w:rPr>
                <w:rFonts w:eastAsia="方正仿宋_GBK"/>
                <w:sz w:val="19"/>
              </w:rPr>
              <w:t>支持基于LLDP、CDP、ARP、路由表、FDB转发表及SNMP自动探测发现全网设备及二三层互联链路，自动绘制全院网络拓扑图；支持链路带宽占用率颜色分级渲染（正常/预警/拥塞）、链路闪断实时变红闪烁；支持网络拓扑的自动刷新与差异对比提示。</w:t>
            </w:r>
          </w:p>
        </w:tc>
      </w:tr>
      <w:tr w14:paraId="04CC22A7">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rHeight w:val="90" w:hRule="atLeast"/>
          <w:jc w:val="center"/>
        </w:trPr>
        <w:tc>
          <w:tcPr>
            <w:tcW w:w="1024" w:type="dxa"/>
            <w:shd w:val="clear" w:color="auto" w:fill="F9FBFC"/>
            <w:tcMar>
              <w:top w:w="90" w:type="dxa"/>
              <w:left w:w="130" w:type="dxa"/>
              <w:bottom w:w="90" w:type="dxa"/>
              <w:right w:w="130" w:type="dxa"/>
            </w:tcMar>
            <w:vAlign w:val="center"/>
          </w:tcPr>
          <w:p w14:paraId="2ADC9757">
            <w:pPr>
              <w:spacing w:line="320" w:lineRule="exact"/>
              <w:jc w:val="center"/>
            </w:pPr>
            <w:r>
              <w:rPr>
                <w:rFonts w:eastAsia="方正仿宋_GBK"/>
                <w:sz w:val="19"/>
              </w:rPr>
              <w:t>3.3.2</w:t>
            </w:r>
          </w:p>
        </w:tc>
        <w:tc>
          <w:tcPr>
            <w:tcW w:w="2318" w:type="dxa"/>
            <w:shd w:val="clear" w:color="auto" w:fill="F9FBFC"/>
            <w:tcMar>
              <w:top w:w="90" w:type="dxa"/>
              <w:left w:w="130" w:type="dxa"/>
              <w:bottom w:w="90" w:type="dxa"/>
              <w:right w:w="130" w:type="dxa"/>
            </w:tcMar>
            <w:vAlign w:val="center"/>
          </w:tcPr>
          <w:p w14:paraId="6BA6B0A8">
            <w:pPr>
              <w:spacing w:line="320" w:lineRule="exact"/>
              <w:jc w:val="left"/>
            </w:pPr>
            <w:r>
              <w:rPr>
                <w:rFonts w:eastAsia="方正仿宋_GBK"/>
                <w:sz w:val="19"/>
              </w:rPr>
              <w:t>应用与业务依赖拓扑</w:t>
            </w:r>
          </w:p>
        </w:tc>
        <w:tc>
          <w:tcPr>
            <w:tcW w:w="6060" w:type="dxa"/>
            <w:shd w:val="clear" w:color="auto" w:fill="F9FBFC"/>
            <w:tcMar>
              <w:top w:w="90" w:type="dxa"/>
              <w:left w:w="130" w:type="dxa"/>
              <w:bottom w:w="90" w:type="dxa"/>
              <w:right w:w="130" w:type="dxa"/>
            </w:tcMar>
            <w:vAlign w:val="center"/>
          </w:tcPr>
          <w:p w14:paraId="74D404E1">
            <w:pPr>
              <w:spacing w:line="320" w:lineRule="exact"/>
              <w:jc w:val="left"/>
            </w:pPr>
            <w:r>
              <w:rPr>
                <w:rFonts w:eastAsia="方正仿宋_GBK"/>
                <w:sz w:val="19"/>
              </w:rPr>
              <w:t>支持直观呈现以核心医疗业务为中心的应用拓扑树（应用系统—虚拟化集群—宿主机—接入交换机—核心交换机—存储阵列），当底层任一硬件出现预警或故障时，告警状态层层向上浸润穿透，清晰展现底层故障对上层医疗业务系统的影响范围。</w:t>
            </w:r>
          </w:p>
        </w:tc>
      </w:tr>
      <w:tr w14:paraId="0CB623E7">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24" w:type="dxa"/>
            <w:tcMar>
              <w:top w:w="90" w:type="dxa"/>
              <w:left w:w="130" w:type="dxa"/>
              <w:bottom w:w="90" w:type="dxa"/>
              <w:right w:w="130" w:type="dxa"/>
            </w:tcMar>
            <w:vAlign w:val="center"/>
          </w:tcPr>
          <w:p w14:paraId="265A1E56">
            <w:pPr>
              <w:spacing w:line="320" w:lineRule="exact"/>
              <w:jc w:val="center"/>
            </w:pPr>
            <w:r>
              <w:rPr>
                <w:rFonts w:eastAsia="方正仿宋_GBK"/>
                <w:sz w:val="19"/>
              </w:rPr>
              <w:t>3.3.3</w:t>
            </w:r>
          </w:p>
        </w:tc>
        <w:tc>
          <w:tcPr>
            <w:tcW w:w="2318" w:type="dxa"/>
            <w:tcMar>
              <w:top w:w="90" w:type="dxa"/>
              <w:left w:w="130" w:type="dxa"/>
              <w:bottom w:w="90" w:type="dxa"/>
              <w:right w:w="130" w:type="dxa"/>
            </w:tcMar>
            <w:vAlign w:val="center"/>
          </w:tcPr>
          <w:p w14:paraId="6A4A8F86">
            <w:pPr>
              <w:spacing w:line="320" w:lineRule="exact"/>
              <w:jc w:val="left"/>
            </w:pPr>
            <w:r>
              <w:rPr>
                <w:rFonts w:eastAsia="方正仿宋_GBK"/>
                <w:sz w:val="19"/>
              </w:rPr>
              <w:t>机房动环3D联动视图</w:t>
            </w:r>
          </w:p>
        </w:tc>
        <w:tc>
          <w:tcPr>
            <w:tcW w:w="6060" w:type="dxa"/>
            <w:tcMar>
              <w:top w:w="90" w:type="dxa"/>
              <w:left w:w="130" w:type="dxa"/>
              <w:bottom w:w="90" w:type="dxa"/>
              <w:right w:w="130" w:type="dxa"/>
            </w:tcMar>
            <w:vAlign w:val="center"/>
          </w:tcPr>
          <w:p w14:paraId="4970F00E">
            <w:pPr>
              <w:spacing w:line="320" w:lineRule="exact"/>
              <w:jc w:val="left"/>
            </w:pPr>
            <w:r>
              <w:rPr>
                <w:rFonts w:eastAsia="方正仿宋_GBK"/>
                <w:sz w:val="19"/>
              </w:rPr>
              <w:t>提供机房三维（3D）虚拟仿真视图（或提供轻量化2.5D机房机柜拓扑），真实还原中心机房机柜空间布局、U位占用情况。</w:t>
            </w:r>
          </w:p>
        </w:tc>
      </w:tr>
      <w:tr w14:paraId="2B5F1CFC">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rHeight w:val="1280" w:hRule="atLeast"/>
          <w:jc w:val="center"/>
        </w:trPr>
        <w:tc>
          <w:tcPr>
            <w:tcW w:w="1024" w:type="dxa"/>
            <w:shd w:val="clear" w:color="auto" w:fill="F9FBFC"/>
            <w:tcMar>
              <w:top w:w="90" w:type="dxa"/>
              <w:left w:w="130" w:type="dxa"/>
              <w:bottom w:w="90" w:type="dxa"/>
              <w:right w:w="130" w:type="dxa"/>
            </w:tcMar>
            <w:vAlign w:val="center"/>
          </w:tcPr>
          <w:p w14:paraId="428C0E17">
            <w:pPr>
              <w:spacing w:line="320" w:lineRule="exact"/>
              <w:jc w:val="center"/>
            </w:pPr>
            <w:r>
              <w:rPr>
                <w:rFonts w:eastAsia="方正仿宋_GBK"/>
                <w:sz w:val="19"/>
              </w:rPr>
              <w:t>3.3.4</w:t>
            </w:r>
          </w:p>
        </w:tc>
        <w:tc>
          <w:tcPr>
            <w:tcW w:w="2318" w:type="dxa"/>
            <w:shd w:val="clear" w:color="auto" w:fill="F9FBFC"/>
            <w:tcMar>
              <w:top w:w="90" w:type="dxa"/>
              <w:left w:w="130" w:type="dxa"/>
              <w:bottom w:w="90" w:type="dxa"/>
              <w:right w:w="130" w:type="dxa"/>
            </w:tcMar>
            <w:vAlign w:val="center"/>
          </w:tcPr>
          <w:p w14:paraId="1205528A">
            <w:pPr>
              <w:spacing w:line="320" w:lineRule="exact"/>
              <w:jc w:val="left"/>
            </w:pPr>
            <w:r>
              <w:rPr>
                <w:rFonts w:eastAsia="方正仿宋_GBK"/>
                <w:sz w:val="19"/>
              </w:rPr>
              <w:t>角色化定制运维仪表盘</w:t>
            </w:r>
          </w:p>
        </w:tc>
        <w:tc>
          <w:tcPr>
            <w:tcW w:w="6060" w:type="dxa"/>
            <w:shd w:val="clear" w:color="auto" w:fill="F9FBFC"/>
            <w:tcMar>
              <w:top w:w="90" w:type="dxa"/>
              <w:left w:w="130" w:type="dxa"/>
              <w:bottom w:w="90" w:type="dxa"/>
              <w:right w:w="130" w:type="dxa"/>
            </w:tcMar>
            <w:vAlign w:val="center"/>
          </w:tcPr>
          <w:p w14:paraId="713C24DD">
            <w:pPr>
              <w:spacing w:line="320" w:lineRule="exact"/>
              <w:jc w:val="left"/>
            </w:pPr>
            <w:r>
              <w:rPr>
                <w:rFonts w:eastAsia="方正仿宋_GBK"/>
                <w:sz w:val="19"/>
              </w:rPr>
              <w:t>支持针对院领导、信息科科长、系统工程师、网络工程师等不同运维角色，通过低代码拖拽方式自定义工作台看板；内置海量图表组件（折线图、仪表盘、拓扑图、排行榜、状态列表），支持个性化布局保存与多看板快速轮巡。</w:t>
            </w:r>
          </w:p>
        </w:tc>
      </w:tr>
      <w:tr w14:paraId="2E311E97">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24" w:type="dxa"/>
            <w:tcMar>
              <w:top w:w="90" w:type="dxa"/>
              <w:left w:w="130" w:type="dxa"/>
              <w:bottom w:w="90" w:type="dxa"/>
              <w:right w:w="130" w:type="dxa"/>
            </w:tcMar>
            <w:vAlign w:val="center"/>
          </w:tcPr>
          <w:p w14:paraId="7AE7BC32">
            <w:pPr>
              <w:spacing w:line="320" w:lineRule="exact"/>
              <w:jc w:val="center"/>
            </w:pPr>
            <w:r>
              <w:rPr>
                <w:rFonts w:eastAsia="方正仿宋_GBK"/>
                <w:sz w:val="19"/>
              </w:rPr>
              <w:t>3.3.5</w:t>
            </w:r>
          </w:p>
        </w:tc>
        <w:tc>
          <w:tcPr>
            <w:tcW w:w="2318" w:type="dxa"/>
            <w:tcMar>
              <w:top w:w="90" w:type="dxa"/>
              <w:left w:w="130" w:type="dxa"/>
              <w:bottom w:w="90" w:type="dxa"/>
              <w:right w:w="130" w:type="dxa"/>
            </w:tcMar>
            <w:vAlign w:val="center"/>
          </w:tcPr>
          <w:p w14:paraId="272BC366">
            <w:pPr>
              <w:spacing w:line="320" w:lineRule="exact"/>
              <w:jc w:val="left"/>
            </w:pPr>
            <w:r>
              <w:rPr>
                <w:rFonts w:eastAsia="方正仿宋_GBK"/>
                <w:sz w:val="19"/>
              </w:rPr>
              <w:t>新院区指挥中心可视化大屏</w:t>
            </w:r>
          </w:p>
        </w:tc>
        <w:tc>
          <w:tcPr>
            <w:tcW w:w="6060" w:type="dxa"/>
            <w:tcMar>
              <w:top w:w="90" w:type="dxa"/>
              <w:left w:w="130" w:type="dxa"/>
              <w:bottom w:w="90" w:type="dxa"/>
              <w:right w:w="130" w:type="dxa"/>
            </w:tcMar>
            <w:vAlign w:val="center"/>
          </w:tcPr>
          <w:p w14:paraId="54F3F5FF">
            <w:pPr>
              <w:spacing w:line="320" w:lineRule="exact"/>
              <w:jc w:val="left"/>
            </w:pPr>
            <w:r>
              <w:rPr>
                <w:rFonts w:eastAsia="方正仿宋_GBK"/>
                <w:sz w:val="19"/>
              </w:rPr>
              <w:t>系统提供专为新院区运维指挥中心大屏幕设计的大屏可视化主题模块，支持高分辨率投屏展示。内容涵盖：全院IT健康总览指数、实时活跃告警态势图、核心医疗系统SLA实时达标率、机房动环态势、网络出口流量趋势图及当日工单处置流转动态。</w:t>
            </w:r>
          </w:p>
        </w:tc>
      </w:tr>
    </w:tbl>
    <w:p w14:paraId="2D6F505D">
      <w:pPr>
        <w:spacing w:before="40" w:after="80"/>
      </w:pPr>
    </w:p>
    <w:p w14:paraId="226ABA88">
      <w:pPr>
        <w:spacing w:before="20" w:after="40" w:line="380" w:lineRule="exact"/>
        <w:ind w:firstLine="480" w:firstLineChars="200"/>
        <w:rPr>
          <w:rFonts w:eastAsia="方正仿宋_GBK"/>
          <w:sz w:val="24"/>
        </w:rPr>
      </w:pPr>
      <w:r>
        <w:rPr>
          <w:rFonts w:eastAsia="方正仿宋_GBK"/>
          <w:sz w:val="24"/>
        </w:rPr>
        <w:t>3.4 业务SLA监控与端到端定时拨测模块</w:t>
      </w:r>
    </w:p>
    <w:tbl>
      <w:tblPr>
        <w:tblStyle w:val="57"/>
        <w:tblW w:w="0" w:type="auto"/>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1051"/>
        <w:gridCol w:w="2313"/>
        <w:gridCol w:w="5825"/>
      </w:tblGrid>
      <w:tr w14:paraId="7C67F801">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blHeader/>
          <w:jc w:val="center"/>
        </w:trPr>
        <w:tc>
          <w:tcPr>
            <w:tcW w:w="1051" w:type="dxa"/>
            <w:shd w:val="clear" w:color="auto" w:fill="EBF1F8"/>
            <w:tcMar>
              <w:top w:w="120" w:type="dxa"/>
              <w:left w:w="140" w:type="dxa"/>
              <w:bottom w:w="120" w:type="dxa"/>
              <w:right w:w="140" w:type="dxa"/>
            </w:tcMar>
            <w:vAlign w:val="center"/>
          </w:tcPr>
          <w:p w14:paraId="7382B677">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序号</w:t>
            </w:r>
          </w:p>
        </w:tc>
        <w:tc>
          <w:tcPr>
            <w:tcW w:w="2313" w:type="dxa"/>
            <w:shd w:val="clear" w:color="auto" w:fill="EBF1F8"/>
            <w:tcMar>
              <w:top w:w="120" w:type="dxa"/>
              <w:left w:w="140" w:type="dxa"/>
              <w:bottom w:w="120" w:type="dxa"/>
              <w:right w:w="140" w:type="dxa"/>
            </w:tcMar>
            <w:vAlign w:val="center"/>
          </w:tcPr>
          <w:p w14:paraId="789EE2DF">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拨测类型 / 模块</w:t>
            </w:r>
          </w:p>
        </w:tc>
        <w:tc>
          <w:tcPr>
            <w:tcW w:w="5825" w:type="dxa"/>
            <w:shd w:val="clear" w:color="auto" w:fill="EBF1F8"/>
            <w:tcMar>
              <w:top w:w="120" w:type="dxa"/>
              <w:left w:w="140" w:type="dxa"/>
              <w:bottom w:w="120" w:type="dxa"/>
              <w:right w:w="140" w:type="dxa"/>
            </w:tcMar>
            <w:vAlign w:val="center"/>
          </w:tcPr>
          <w:p w14:paraId="027277BB">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详细技术规格与功能说明</w:t>
            </w:r>
          </w:p>
        </w:tc>
      </w:tr>
      <w:tr w14:paraId="0908DF7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51" w:type="dxa"/>
            <w:tcMar>
              <w:top w:w="90" w:type="dxa"/>
              <w:left w:w="130" w:type="dxa"/>
              <w:bottom w:w="90" w:type="dxa"/>
              <w:right w:w="130" w:type="dxa"/>
            </w:tcMar>
            <w:vAlign w:val="center"/>
          </w:tcPr>
          <w:p w14:paraId="3BA22B9D">
            <w:pPr>
              <w:spacing w:line="320" w:lineRule="exact"/>
              <w:jc w:val="center"/>
            </w:pPr>
            <w:r>
              <w:rPr>
                <w:rFonts w:eastAsia="方正仿宋_GBK"/>
                <w:sz w:val="19"/>
              </w:rPr>
              <w:t>3.4.1</w:t>
            </w:r>
          </w:p>
        </w:tc>
        <w:tc>
          <w:tcPr>
            <w:tcW w:w="2313" w:type="dxa"/>
            <w:tcMar>
              <w:top w:w="90" w:type="dxa"/>
              <w:left w:w="130" w:type="dxa"/>
              <w:bottom w:w="90" w:type="dxa"/>
              <w:right w:w="130" w:type="dxa"/>
            </w:tcMar>
            <w:vAlign w:val="center"/>
          </w:tcPr>
          <w:p w14:paraId="576FEA25">
            <w:pPr>
              <w:spacing w:line="320" w:lineRule="exact"/>
              <w:jc w:val="left"/>
            </w:pPr>
            <w:r>
              <w:rPr>
                <w:rFonts w:eastAsia="方正仿宋_GBK"/>
                <w:sz w:val="19"/>
              </w:rPr>
              <w:t>分布式多探针体系</w:t>
            </w:r>
          </w:p>
        </w:tc>
        <w:tc>
          <w:tcPr>
            <w:tcW w:w="5825" w:type="dxa"/>
            <w:tcMar>
              <w:top w:w="90" w:type="dxa"/>
              <w:left w:w="130" w:type="dxa"/>
              <w:bottom w:w="90" w:type="dxa"/>
              <w:right w:w="130" w:type="dxa"/>
            </w:tcMar>
            <w:vAlign w:val="center"/>
          </w:tcPr>
          <w:p w14:paraId="7B766B8C">
            <w:pPr>
              <w:spacing w:line="320" w:lineRule="exact"/>
              <w:jc w:val="left"/>
            </w:pPr>
            <w:r>
              <w:rPr>
                <w:rFonts w:eastAsia="方正仿宋_GBK"/>
                <w:sz w:val="19"/>
              </w:rPr>
              <w:t>支持在新院区门诊楼、住院楼、医技楼、急诊科以及老院区等不同网络物理分区部署轻量化分布式探测探针，从真实用户终端访问路径模拟发起网络与应用探测，消除监控盲区。</w:t>
            </w:r>
          </w:p>
        </w:tc>
      </w:tr>
      <w:tr w14:paraId="3AD3A89B">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51" w:type="dxa"/>
            <w:shd w:val="clear" w:color="auto" w:fill="F9FBFC"/>
            <w:tcMar>
              <w:top w:w="90" w:type="dxa"/>
              <w:left w:w="130" w:type="dxa"/>
              <w:bottom w:w="90" w:type="dxa"/>
              <w:right w:w="130" w:type="dxa"/>
            </w:tcMar>
            <w:vAlign w:val="center"/>
          </w:tcPr>
          <w:p w14:paraId="34716040">
            <w:pPr>
              <w:spacing w:line="320" w:lineRule="exact"/>
              <w:jc w:val="center"/>
            </w:pPr>
            <w:r>
              <w:rPr>
                <w:rFonts w:eastAsia="方正仿宋_GBK"/>
                <w:sz w:val="19"/>
              </w:rPr>
              <w:t>3.4.2</w:t>
            </w:r>
          </w:p>
        </w:tc>
        <w:tc>
          <w:tcPr>
            <w:tcW w:w="2313" w:type="dxa"/>
            <w:shd w:val="clear" w:color="auto" w:fill="F9FBFC"/>
            <w:tcMar>
              <w:top w:w="90" w:type="dxa"/>
              <w:left w:w="130" w:type="dxa"/>
              <w:bottom w:w="90" w:type="dxa"/>
              <w:right w:w="130" w:type="dxa"/>
            </w:tcMar>
            <w:vAlign w:val="center"/>
          </w:tcPr>
          <w:p w14:paraId="7C863B6E">
            <w:pPr>
              <w:spacing w:line="320" w:lineRule="exact"/>
              <w:jc w:val="left"/>
            </w:pPr>
            <w:r>
              <w:rPr>
                <w:rFonts w:eastAsia="方正仿宋_GBK"/>
                <w:sz w:val="19"/>
              </w:rPr>
              <w:t>TCP协议端口拨测</w:t>
            </w:r>
          </w:p>
        </w:tc>
        <w:tc>
          <w:tcPr>
            <w:tcW w:w="5825" w:type="dxa"/>
            <w:shd w:val="clear" w:color="auto" w:fill="F9FBFC"/>
            <w:tcMar>
              <w:top w:w="90" w:type="dxa"/>
              <w:left w:w="130" w:type="dxa"/>
              <w:bottom w:w="90" w:type="dxa"/>
              <w:right w:w="130" w:type="dxa"/>
            </w:tcMar>
            <w:vAlign w:val="center"/>
          </w:tcPr>
          <w:p w14:paraId="44A2F667">
            <w:pPr>
              <w:spacing w:line="320" w:lineRule="exact"/>
              <w:jc w:val="left"/>
            </w:pPr>
            <w:r>
              <w:rPr>
                <w:rFonts w:eastAsia="方正仿宋_GBK"/>
                <w:sz w:val="19"/>
              </w:rPr>
              <w:t>支持周期性（10秒~5分钟可调）对核心业务服务器（如HIS应用服务器、PACS影像服务器、数据库监听端口、中间件端口等）进行TCP端口连通性探测、握手延迟统计与丢包率监测。</w:t>
            </w:r>
          </w:p>
        </w:tc>
      </w:tr>
      <w:tr w14:paraId="7FFA8E38">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51" w:type="dxa"/>
            <w:tcMar>
              <w:top w:w="90" w:type="dxa"/>
              <w:left w:w="130" w:type="dxa"/>
              <w:bottom w:w="90" w:type="dxa"/>
              <w:right w:w="130" w:type="dxa"/>
            </w:tcMar>
            <w:vAlign w:val="center"/>
          </w:tcPr>
          <w:p w14:paraId="64F81E52">
            <w:pPr>
              <w:spacing w:line="320" w:lineRule="exact"/>
              <w:jc w:val="center"/>
            </w:pPr>
            <w:r>
              <w:rPr>
                <w:rFonts w:eastAsia="方正仿宋_GBK"/>
                <w:sz w:val="19"/>
              </w:rPr>
              <w:t>3.4.3</w:t>
            </w:r>
          </w:p>
        </w:tc>
        <w:tc>
          <w:tcPr>
            <w:tcW w:w="2313" w:type="dxa"/>
            <w:tcMar>
              <w:top w:w="90" w:type="dxa"/>
              <w:left w:w="130" w:type="dxa"/>
              <w:bottom w:w="90" w:type="dxa"/>
              <w:right w:w="130" w:type="dxa"/>
            </w:tcMar>
            <w:vAlign w:val="center"/>
          </w:tcPr>
          <w:p w14:paraId="1DB00BBA">
            <w:pPr>
              <w:spacing w:line="320" w:lineRule="exact"/>
              <w:jc w:val="left"/>
            </w:pPr>
            <w:r>
              <w:rPr>
                <w:rFonts w:eastAsia="方正仿宋_GBK"/>
                <w:sz w:val="19"/>
              </w:rPr>
              <w:t>HTTP/HTTPS应用拨测</w:t>
            </w:r>
          </w:p>
        </w:tc>
        <w:tc>
          <w:tcPr>
            <w:tcW w:w="5825" w:type="dxa"/>
            <w:tcMar>
              <w:top w:w="90" w:type="dxa"/>
              <w:left w:w="130" w:type="dxa"/>
              <w:bottom w:w="90" w:type="dxa"/>
              <w:right w:w="130" w:type="dxa"/>
            </w:tcMar>
            <w:vAlign w:val="center"/>
          </w:tcPr>
          <w:p w14:paraId="05BEB38B">
            <w:pPr>
              <w:spacing w:line="320" w:lineRule="exact"/>
              <w:jc w:val="left"/>
            </w:pPr>
            <w:r>
              <w:rPr>
                <w:rFonts w:eastAsia="方正仿宋_GBK"/>
                <w:sz w:val="19"/>
              </w:rPr>
              <w:t>模拟终端发起Web页面请求。检测指标包括：HTTP状态码（200/404/500等）、DNS解析耗时、TCP连接耗时、首字节耗时、页面总加载耗时；支持页面关键文本/关键字断言匹配；支持SSL证书有效性及临期到期天数预警。</w:t>
            </w:r>
          </w:p>
        </w:tc>
      </w:tr>
      <w:tr w14:paraId="5CC0CD4B">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51" w:type="dxa"/>
            <w:shd w:val="clear" w:color="auto" w:fill="F9FBFC"/>
            <w:tcMar>
              <w:top w:w="90" w:type="dxa"/>
              <w:left w:w="130" w:type="dxa"/>
              <w:bottom w:w="90" w:type="dxa"/>
              <w:right w:w="130" w:type="dxa"/>
            </w:tcMar>
            <w:vAlign w:val="center"/>
          </w:tcPr>
          <w:p w14:paraId="4A2EF96C">
            <w:pPr>
              <w:spacing w:line="320" w:lineRule="exact"/>
              <w:jc w:val="center"/>
            </w:pPr>
            <w:r>
              <w:rPr>
                <w:rFonts w:eastAsia="方正仿宋_GBK"/>
                <w:sz w:val="19"/>
              </w:rPr>
              <w:t>3.4.4</w:t>
            </w:r>
          </w:p>
        </w:tc>
        <w:tc>
          <w:tcPr>
            <w:tcW w:w="2313" w:type="dxa"/>
            <w:shd w:val="clear" w:color="auto" w:fill="F9FBFC"/>
            <w:tcMar>
              <w:top w:w="90" w:type="dxa"/>
              <w:left w:w="130" w:type="dxa"/>
              <w:bottom w:w="90" w:type="dxa"/>
              <w:right w:w="130" w:type="dxa"/>
            </w:tcMar>
            <w:vAlign w:val="center"/>
          </w:tcPr>
          <w:p w14:paraId="0723807A">
            <w:pPr>
              <w:spacing w:line="320" w:lineRule="exact"/>
              <w:jc w:val="left"/>
            </w:pPr>
            <w:r>
              <w:rPr>
                <w:rFonts w:eastAsia="方正仿宋_GBK"/>
                <w:sz w:val="19"/>
              </w:rPr>
              <w:t>数据库业务拨测</w:t>
            </w:r>
          </w:p>
        </w:tc>
        <w:tc>
          <w:tcPr>
            <w:tcW w:w="5825" w:type="dxa"/>
            <w:shd w:val="clear" w:color="auto" w:fill="F9FBFC"/>
            <w:tcMar>
              <w:top w:w="90" w:type="dxa"/>
              <w:left w:w="130" w:type="dxa"/>
              <w:bottom w:w="90" w:type="dxa"/>
              <w:right w:w="130" w:type="dxa"/>
            </w:tcMar>
            <w:vAlign w:val="center"/>
          </w:tcPr>
          <w:p w14:paraId="78046C6F">
            <w:pPr>
              <w:spacing w:line="320" w:lineRule="exact"/>
              <w:jc w:val="left"/>
            </w:pPr>
            <w:r>
              <w:rPr>
                <w:rFonts w:eastAsia="方正仿宋_GBK"/>
                <w:sz w:val="19"/>
              </w:rPr>
              <w:t>支持定时建立标准数据库连接并执行轻量级健康检测SQL语句，实时监测数据库连接耗时、简单查询响应延迟，评估数据库当前事务并发承载状态。</w:t>
            </w:r>
          </w:p>
        </w:tc>
      </w:tr>
      <w:tr w14:paraId="3E7D1D3F">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51" w:type="dxa"/>
            <w:tcMar>
              <w:top w:w="90" w:type="dxa"/>
              <w:left w:w="130" w:type="dxa"/>
              <w:bottom w:w="90" w:type="dxa"/>
              <w:right w:w="130" w:type="dxa"/>
            </w:tcMar>
            <w:vAlign w:val="center"/>
          </w:tcPr>
          <w:p w14:paraId="6B909088">
            <w:pPr>
              <w:spacing w:line="320" w:lineRule="exact"/>
              <w:jc w:val="center"/>
            </w:pPr>
            <w:r>
              <w:rPr>
                <w:rFonts w:eastAsia="方正仿宋_GBK"/>
                <w:sz w:val="19"/>
              </w:rPr>
              <w:t>3.4.5</w:t>
            </w:r>
          </w:p>
        </w:tc>
        <w:tc>
          <w:tcPr>
            <w:tcW w:w="2313" w:type="dxa"/>
            <w:tcMar>
              <w:top w:w="90" w:type="dxa"/>
              <w:left w:w="130" w:type="dxa"/>
              <w:bottom w:w="90" w:type="dxa"/>
              <w:right w:w="130" w:type="dxa"/>
            </w:tcMar>
            <w:vAlign w:val="center"/>
          </w:tcPr>
          <w:p w14:paraId="2405ACE4">
            <w:pPr>
              <w:spacing w:line="320" w:lineRule="exact"/>
              <w:jc w:val="left"/>
            </w:pPr>
            <w:r>
              <w:rPr>
                <w:rFonts w:eastAsia="方正仿宋_GBK"/>
                <w:sz w:val="19"/>
              </w:rPr>
              <w:t>API与微服务接口拨测</w:t>
            </w:r>
          </w:p>
        </w:tc>
        <w:tc>
          <w:tcPr>
            <w:tcW w:w="5825" w:type="dxa"/>
            <w:tcMar>
              <w:top w:w="90" w:type="dxa"/>
              <w:left w:w="130" w:type="dxa"/>
              <w:bottom w:w="90" w:type="dxa"/>
              <w:right w:w="130" w:type="dxa"/>
            </w:tcMar>
            <w:vAlign w:val="center"/>
          </w:tcPr>
          <w:p w14:paraId="08C6677F">
            <w:pPr>
              <w:spacing w:line="320" w:lineRule="exact"/>
              <w:jc w:val="left"/>
            </w:pPr>
            <w:r>
              <w:rPr>
                <w:rFonts w:eastAsia="方正仿宋_GBK"/>
                <w:sz w:val="19"/>
              </w:rPr>
              <w:t>支持配置多参数的RESTful/SOAP接口自动化请求（支持自定义Headers、Cookies、POST JSON报文），校验接口返回状态码及JSON指定字段断言，保障医院集成平台及对外移动接口可用性。</w:t>
            </w:r>
          </w:p>
        </w:tc>
      </w:tr>
      <w:tr w14:paraId="1CA0D6C0">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51" w:type="dxa"/>
            <w:shd w:val="clear" w:color="auto" w:fill="F9FBFC"/>
            <w:tcMar>
              <w:top w:w="90" w:type="dxa"/>
              <w:left w:w="130" w:type="dxa"/>
              <w:bottom w:w="90" w:type="dxa"/>
              <w:right w:w="130" w:type="dxa"/>
            </w:tcMar>
            <w:vAlign w:val="center"/>
          </w:tcPr>
          <w:p w14:paraId="60D7D6DF">
            <w:pPr>
              <w:spacing w:line="320" w:lineRule="exact"/>
              <w:jc w:val="center"/>
            </w:pPr>
            <w:r>
              <w:rPr>
                <w:rFonts w:eastAsia="方正仿宋_GBK"/>
                <w:sz w:val="19"/>
              </w:rPr>
              <w:t>3.4.6</w:t>
            </w:r>
          </w:p>
        </w:tc>
        <w:tc>
          <w:tcPr>
            <w:tcW w:w="2313" w:type="dxa"/>
            <w:shd w:val="clear" w:color="auto" w:fill="F9FBFC"/>
            <w:tcMar>
              <w:top w:w="90" w:type="dxa"/>
              <w:left w:w="130" w:type="dxa"/>
              <w:bottom w:w="90" w:type="dxa"/>
              <w:right w:w="130" w:type="dxa"/>
            </w:tcMar>
            <w:vAlign w:val="center"/>
          </w:tcPr>
          <w:p w14:paraId="535B12CF">
            <w:pPr>
              <w:spacing w:line="320" w:lineRule="exact"/>
              <w:jc w:val="left"/>
            </w:pPr>
            <w:r>
              <w:rPr>
                <w:rFonts w:eastAsia="方正仿宋_GBK"/>
                <w:sz w:val="19"/>
              </w:rPr>
              <w:t>ICMP/Ping网络拨测</w:t>
            </w:r>
          </w:p>
        </w:tc>
        <w:tc>
          <w:tcPr>
            <w:tcW w:w="5825" w:type="dxa"/>
            <w:shd w:val="clear" w:color="auto" w:fill="F9FBFC"/>
            <w:tcMar>
              <w:top w:w="90" w:type="dxa"/>
              <w:left w:w="130" w:type="dxa"/>
              <w:bottom w:w="90" w:type="dxa"/>
              <w:right w:w="130" w:type="dxa"/>
            </w:tcMar>
            <w:vAlign w:val="center"/>
          </w:tcPr>
          <w:p w14:paraId="67ED7B52">
            <w:pPr>
              <w:spacing w:line="320" w:lineRule="exact"/>
              <w:jc w:val="left"/>
            </w:pPr>
            <w:r>
              <w:rPr>
                <w:rFonts w:eastAsia="方正仿宋_GBK"/>
                <w:sz w:val="19"/>
              </w:rPr>
              <w:t>高频监测关键网关、重要服务器IP地址的网络双向连通性、网络时延及抖动丢包情况，作为底层网络链路可用性基线依据。</w:t>
            </w:r>
          </w:p>
        </w:tc>
      </w:tr>
      <w:tr w14:paraId="5D8D506F">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51" w:type="dxa"/>
            <w:tcMar>
              <w:top w:w="90" w:type="dxa"/>
              <w:left w:w="130" w:type="dxa"/>
              <w:bottom w:w="90" w:type="dxa"/>
              <w:right w:w="130" w:type="dxa"/>
            </w:tcMar>
            <w:vAlign w:val="center"/>
          </w:tcPr>
          <w:p w14:paraId="615B550C">
            <w:pPr>
              <w:spacing w:line="320" w:lineRule="exact"/>
              <w:jc w:val="center"/>
            </w:pPr>
            <w:r>
              <w:rPr>
                <w:rFonts w:eastAsia="方正仿宋_GBK"/>
                <w:sz w:val="19"/>
              </w:rPr>
              <w:t>3.4.7</w:t>
            </w:r>
          </w:p>
        </w:tc>
        <w:tc>
          <w:tcPr>
            <w:tcW w:w="2313" w:type="dxa"/>
            <w:tcMar>
              <w:top w:w="90" w:type="dxa"/>
              <w:left w:w="130" w:type="dxa"/>
              <w:bottom w:w="90" w:type="dxa"/>
              <w:right w:w="130" w:type="dxa"/>
            </w:tcMar>
            <w:vAlign w:val="center"/>
          </w:tcPr>
          <w:p w14:paraId="07DA8A46">
            <w:pPr>
              <w:spacing w:line="320" w:lineRule="exact"/>
              <w:jc w:val="left"/>
            </w:pPr>
            <w:r>
              <w:rPr>
                <w:rFonts w:eastAsia="方正仿宋_GBK"/>
                <w:sz w:val="19"/>
              </w:rPr>
              <w:t>SLA报表与达标率统计</w:t>
            </w:r>
          </w:p>
        </w:tc>
        <w:tc>
          <w:tcPr>
            <w:tcW w:w="5825" w:type="dxa"/>
            <w:tcMar>
              <w:top w:w="90" w:type="dxa"/>
              <w:left w:w="130" w:type="dxa"/>
              <w:bottom w:w="90" w:type="dxa"/>
              <w:right w:w="130" w:type="dxa"/>
            </w:tcMar>
            <w:vAlign w:val="center"/>
          </w:tcPr>
          <w:p w14:paraId="65F75BE5">
            <w:pPr>
              <w:spacing w:line="320" w:lineRule="exact"/>
              <w:jc w:val="left"/>
            </w:pPr>
            <w:r>
              <w:rPr>
                <w:rFonts w:eastAsia="方正仿宋_GBK"/>
                <w:sz w:val="19"/>
              </w:rPr>
              <w:t>支持对全院核心系统（HIS、EMR、LIS、PACS、集成平台、门诊预约系统等）分别定义SLA目标（如可用性≥99.95%、响应时间≤500ms）；计算公式：SLA达标率 = (规定周期内探测成功次数 / 总探测次数) × 100%；系统自动按日、周、月、季度生成业务SLA达成率趋势图与中断时长审计报告。</w:t>
            </w:r>
          </w:p>
        </w:tc>
      </w:tr>
      <w:tr w14:paraId="15D57290">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51" w:type="dxa"/>
            <w:shd w:val="clear" w:color="auto" w:fill="F9FBFC"/>
            <w:tcMar>
              <w:top w:w="90" w:type="dxa"/>
              <w:left w:w="130" w:type="dxa"/>
              <w:bottom w:w="90" w:type="dxa"/>
              <w:right w:w="130" w:type="dxa"/>
            </w:tcMar>
            <w:vAlign w:val="center"/>
          </w:tcPr>
          <w:p w14:paraId="11538FEA">
            <w:pPr>
              <w:spacing w:line="320" w:lineRule="exact"/>
              <w:jc w:val="center"/>
            </w:pPr>
            <w:r>
              <w:rPr>
                <w:rFonts w:eastAsia="方正仿宋_GBK"/>
                <w:sz w:val="19"/>
              </w:rPr>
              <w:t>3.4.8</w:t>
            </w:r>
          </w:p>
        </w:tc>
        <w:tc>
          <w:tcPr>
            <w:tcW w:w="2313" w:type="dxa"/>
            <w:shd w:val="clear" w:color="auto" w:fill="F9FBFC"/>
            <w:tcMar>
              <w:top w:w="90" w:type="dxa"/>
              <w:left w:w="130" w:type="dxa"/>
              <w:bottom w:w="90" w:type="dxa"/>
              <w:right w:w="130" w:type="dxa"/>
            </w:tcMar>
            <w:vAlign w:val="center"/>
          </w:tcPr>
          <w:p w14:paraId="4DC4B276">
            <w:pPr>
              <w:spacing w:line="320" w:lineRule="exact"/>
              <w:jc w:val="left"/>
            </w:pPr>
            <w:r>
              <w:rPr>
                <w:rFonts w:eastAsia="方正仿宋_GBK"/>
                <w:sz w:val="19"/>
              </w:rPr>
              <w:t>端到端APM链路追踪（可选扩展）</w:t>
            </w:r>
          </w:p>
        </w:tc>
        <w:tc>
          <w:tcPr>
            <w:tcW w:w="5825" w:type="dxa"/>
            <w:shd w:val="clear" w:color="auto" w:fill="F9FBFC"/>
            <w:tcMar>
              <w:top w:w="90" w:type="dxa"/>
              <w:left w:w="130" w:type="dxa"/>
              <w:bottom w:w="90" w:type="dxa"/>
              <w:right w:w="130" w:type="dxa"/>
            </w:tcMar>
            <w:vAlign w:val="center"/>
          </w:tcPr>
          <w:p w14:paraId="0DFF4A63">
            <w:pPr>
              <w:spacing w:line="320" w:lineRule="exact"/>
              <w:jc w:val="left"/>
            </w:pPr>
            <w:r>
              <w:rPr>
                <w:rFonts w:eastAsia="方正仿宋_GBK"/>
                <w:sz w:val="19"/>
              </w:rPr>
              <w:t>支持基于字节码插桩或OpenTelemetry接入的端到端应用性能监控（APM），实现对应用跨微服务调用链的分布式全链路追踪，快速定位慢调用方法、慢SQL语句及系统依赖瓶颈点。</w:t>
            </w:r>
          </w:p>
        </w:tc>
      </w:tr>
    </w:tbl>
    <w:p w14:paraId="3898B370">
      <w:pPr>
        <w:spacing w:before="40" w:after="80"/>
      </w:pPr>
    </w:p>
    <w:p w14:paraId="5528A135">
      <w:pPr>
        <w:spacing w:before="20" w:after="40" w:line="380" w:lineRule="exact"/>
        <w:ind w:firstLine="480" w:firstLineChars="200"/>
        <w:rPr>
          <w:rFonts w:eastAsia="方正仿宋_GBK"/>
          <w:sz w:val="24"/>
        </w:rPr>
      </w:pPr>
    </w:p>
    <w:p w14:paraId="12BD6013">
      <w:pPr>
        <w:spacing w:before="20" w:after="40" w:line="380" w:lineRule="exact"/>
        <w:ind w:firstLine="480" w:firstLineChars="200"/>
        <w:rPr>
          <w:rFonts w:eastAsia="方正仿宋_GBK"/>
          <w:sz w:val="24"/>
        </w:rPr>
      </w:pPr>
      <w:r>
        <w:rPr>
          <w:rFonts w:eastAsia="方正仿宋_GBK"/>
          <w:sz w:val="24"/>
        </w:rPr>
        <w:t>3.5 集中日志采集与安全审计分析模块</w:t>
      </w:r>
    </w:p>
    <w:tbl>
      <w:tblPr>
        <w:tblStyle w:val="57"/>
        <w:tblW w:w="0" w:type="auto"/>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1087"/>
        <w:gridCol w:w="2338"/>
        <w:gridCol w:w="5918"/>
      </w:tblGrid>
      <w:tr w14:paraId="2CEB085F">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blHeader/>
          <w:jc w:val="center"/>
        </w:trPr>
        <w:tc>
          <w:tcPr>
            <w:tcW w:w="1087" w:type="dxa"/>
            <w:shd w:val="clear" w:color="auto" w:fill="EBF1F8"/>
            <w:tcMar>
              <w:top w:w="120" w:type="dxa"/>
              <w:left w:w="140" w:type="dxa"/>
              <w:bottom w:w="120" w:type="dxa"/>
              <w:right w:w="140" w:type="dxa"/>
            </w:tcMar>
            <w:vAlign w:val="center"/>
          </w:tcPr>
          <w:p w14:paraId="061B6903">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序号</w:t>
            </w:r>
          </w:p>
        </w:tc>
        <w:tc>
          <w:tcPr>
            <w:tcW w:w="2338" w:type="dxa"/>
            <w:shd w:val="clear" w:color="auto" w:fill="EBF1F8"/>
            <w:tcMar>
              <w:top w:w="120" w:type="dxa"/>
              <w:left w:w="140" w:type="dxa"/>
              <w:bottom w:w="120" w:type="dxa"/>
              <w:right w:w="140" w:type="dxa"/>
            </w:tcMar>
            <w:vAlign w:val="center"/>
          </w:tcPr>
          <w:p w14:paraId="64983CBA">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功能模块</w:t>
            </w:r>
          </w:p>
        </w:tc>
        <w:tc>
          <w:tcPr>
            <w:tcW w:w="5918" w:type="dxa"/>
            <w:shd w:val="clear" w:color="auto" w:fill="EBF1F8"/>
            <w:tcMar>
              <w:top w:w="120" w:type="dxa"/>
              <w:left w:w="140" w:type="dxa"/>
              <w:bottom w:w="120" w:type="dxa"/>
              <w:right w:w="140" w:type="dxa"/>
            </w:tcMar>
            <w:vAlign w:val="center"/>
          </w:tcPr>
          <w:p w14:paraId="3F5EA4F4">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详细技术规格与功能说明</w:t>
            </w:r>
          </w:p>
        </w:tc>
      </w:tr>
      <w:tr w14:paraId="58609AD2">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7" w:type="dxa"/>
            <w:tcMar>
              <w:top w:w="90" w:type="dxa"/>
              <w:left w:w="130" w:type="dxa"/>
              <w:bottom w:w="90" w:type="dxa"/>
              <w:right w:w="130" w:type="dxa"/>
            </w:tcMar>
            <w:vAlign w:val="center"/>
          </w:tcPr>
          <w:p w14:paraId="4FACF549">
            <w:pPr>
              <w:spacing w:line="320" w:lineRule="exact"/>
              <w:jc w:val="center"/>
            </w:pPr>
            <w:r>
              <w:rPr>
                <w:rFonts w:eastAsia="方正仿宋_GBK"/>
                <w:sz w:val="19"/>
              </w:rPr>
              <w:t>3.5.1</w:t>
            </w:r>
          </w:p>
        </w:tc>
        <w:tc>
          <w:tcPr>
            <w:tcW w:w="2338" w:type="dxa"/>
            <w:tcMar>
              <w:top w:w="90" w:type="dxa"/>
              <w:left w:w="130" w:type="dxa"/>
              <w:bottom w:w="90" w:type="dxa"/>
              <w:right w:w="130" w:type="dxa"/>
            </w:tcMar>
            <w:vAlign w:val="center"/>
          </w:tcPr>
          <w:p w14:paraId="394AC404">
            <w:pPr>
              <w:spacing w:line="320" w:lineRule="exact"/>
              <w:jc w:val="left"/>
            </w:pPr>
            <w:r>
              <w:rPr>
                <w:rFonts w:eastAsia="方正仿宋_GBK"/>
                <w:sz w:val="19"/>
              </w:rPr>
              <w:t>多源网络与系统日志集中汇聚</w:t>
            </w:r>
          </w:p>
        </w:tc>
        <w:tc>
          <w:tcPr>
            <w:tcW w:w="5918" w:type="dxa"/>
            <w:tcMar>
              <w:top w:w="90" w:type="dxa"/>
              <w:left w:w="130" w:type="dxa"/>
              <w:bottom w:w="90" w:type="dxa"/>
              <w:right w:w="130" w:type="dxa"/>
            </w:tcMar>
            <w:vAlign w:val="center"/>
          </w:tcPr>
          <w:p w14:paraId="044EA6C6">
            <w:pPr>
              <w:spacing w:line="320" w:lineRule="exact"/>
              <w:jc w:val="left"/>
            </w:pPr>
            <w:r>
              <w:rPr>
                <w:rFonts w:eastAsia="方正仿宋_GBK"/>
                <w:sz w:val="19"/>
              </w:rPr>
              <w:t>依据《</w:t>
            </w:r>
            <w:r>
              <w:rPr>
                <w:rFonts w:hint="eastAsia" w:eastAsia="方正仿宋_GBK"/>
                <w:sz w:val="19"/>
              </w:rPr>
              <w:t>中华人民共和国</w:t>
            </w:r>
            <w:r>
              <w:rPr>
                <w:rFonts w:eastAsia="方正仿宋_GBK"/>
                <w:sz w:val="19"/>
              </w:rPr>
              <w:t>网络安全法》第二十一条第三项要求，平台须具备网络运行状态和网络安全事件相关的网络日志集中记录与汇聚能力；采用RFC 5424/RFC 3164 Syslog标准报文协议、SNMP Trap、Agent及API等技术，集中采集全网核心交换机、防火墙、负载均衡、VPN网关等网络设备日志。</w:t>
            </w:r>
          </w:p>
        </w:tc>
      </w:tr>
      <w:tr w14:paraId="62361517">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7" w:type="dxa"/>
            <w:shd w:val="clear" w:color="auto" w:fill="F9FBFC"/>
            <w:tcMar>
              <w:top w:w="90" w:type="dxa"/>
              <w:left w:w="130" w:type="dxa"/>
              <w:bottom w:w="90" w:type="dxa"/>
              <w:right w:w="130" w:type="dxa"/>
            </w:tcMar>
            <w:vAlign w:val="center"/>
          </w:tcPr>
          <w:p w14:paraId="0D206088">
            <w:pPr>
              <w:spacing w:line="320" w:lineRule="exact"/>
              <w:jc w:val="center"/>
            </w:pPr>
            <w:r>
              <w:rPr>
                <w:rFonts w:eastAsia="方正仿宋_GBK"/>
                <w:sz w:val="19"/>
              </w:rPr>
              <w:t>3.5.2</w:t>
            </w:r>
          </w:p>
        </w:tc>
        <w:tc>
          <w:tcPr>
            <w:tcW w:w="2338" w:type="dxa"/>
            <w:shd w:val="clear" w:color="auto" w:fill="F9FBFC"/>
            <w:tcMar>
              <w:top w:w="90" w:type="dxa"/>
              <w:left w:w="130" w:type="dxa"/>
              <w:bottom w:w="90" w:type="dxa"/>
              <w:right w:w="130" w:type="dxa"/>
            </w:tcMar>
            <w:vAlign w:val="center"/>
          </w:tcPr>
          <w:p w14:paraId="2E23E6A6">
            <w:pPr>
              <w:spacing w:line="320" w:lineRule="exact"/>
              <w:jc w:val="left"/>
            </w:pPr>
            <w:r>
              <w:rPr>
                <w:rFonts w:eastAsia="方正仿宋_GBK"/>
                <w:sz w:val="19"/>
              </w:rPr>
              <w:t>日志高性能检索与安全分析</w:t>
            </w:r>
          </w:p>
        </w:tc>
        <w:tc>
          <w:tcPr>
            <w:tcW w:w="5918" w:type="dxa"/>
            <w:shd w:val="clear" w:color="auto" w:fill="F9FBFC"/>
            <w:tcMar>
              <w:top w:w="90" w:type="dxa"/>
              <w:left w:w="130" w:type="dxa"/>
              <w:bottom w:w="90" w:type="dxa"/>
              <w:right w:w="130" w:type="dxa"/>
            </w:tcMar>
            <w:vAlign w:val="center"/>
          </w:tcPr>
          <w:p w14:paraId="32542C59">
            <w:pPr>
              <w:spacing w:line="320" w:lineRule="exact"/>
              <w:jc w:val="left"/>
            </w:pPr>
            <w:r>
              <w:rPr>
                <w:rFonts w:eastAsia="方正仿宋_GBK"/>
                <w:sz w:val="19"/>
              </w:rPr>
              <w:t>基于分布式全文索引架构，提供海量日志秒级全文检索与多条件复合过滤功能（支持关键字模糊搜索、字段逻辑布尔组合、时间范围切片）；支持对登录失败、权限变更、非法访问、高频报错等关键安全事件的自动关联告警与可视化态势统计。</w:t>
            </w:r>
          </w:p>
        </w:tc>
      </w:tr>
      <w:tr w14:paraId="5C50F4F8">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7" w:type="dxa"/>
            <w:tcMar>
              <w:top w:w="90" w:type="dxa"/>
              <w:left w:w="130" w:type="dxa"/>
              <w:bottom w:w="90" w:type="dxa"/>
              <w:right w:w="130" w:type="dxa"/>
            </w:tcMar>
            <w:vAlign w:val="center"/>
          </w:tcPr>
          <w:p w14:paraId="4FD40D7D">
            <w:pPr>
              <w:spacing w:line="320" w:lineRule="exact"/>
              <w:jc w:val="center"/>
            </w:pPr>
            <w:r>
              <w:rPr>
                <w:rFonts w:eastAsia="方正仿宋_GBK"/>
                <w:sz w:val="19"/>
              </w:rPr>
              <w:t>3.5.3</w:t>
            </w:r>
          </w:p>
        </w:tc>
        <w:tc>
          <w:tcPr>
            <w:tcW w:w="2338" w:type="dxa"/>
            <w:tcMar>
              <w:top w:w="90" w:type="dxa"/>
              <w:left w:w="130" w:type="dxa"/>
              <w:bottom w:w="90" w:type="dxa"/>
              <w:right w:w="130" w:type="dxa"/>
            </w:tcMar>
            <w:vAlign w:val="center"/>
          </w:tcPr>
          <w:p w14:paraId="15165119">
            <w:pPr>
              <w:spacing w:line="320" w:lineRule="exact"/>
              <w:jc w:val="left"/>
            </w:pPr>
            <w:r>
              <w:rPr>
                <w:rFonts w:eastAsia="方正仿宋_GBK"/>
                <w:sz w:val="19"/>
              </w:rPr>
              <w:t>法定网络日志与平台审计日志留存180天</w:t>
            </w:r>
          </w:p>
        </w:tc>
        <w:tc>
          <w:tcPr>
            <w:tcW w:w="5918" w:type="dxa"/>
            <w:tcMar>
              <w:top w:w="90" w:type="dxa"/>
              <w:left w:w="130" w:type="dxa"/>
              <w:bottom w:w="90" w:type="dxa"/>
              <w:right w:w="130" w:type="dxa"/>
            </w:tcMar>
            <w:vAlign w:val="center"/>
          </w:tcPr>
          <w:p w14:paraId="1431FA03">
            <w:pPr>
              <w:spacing w:line="320" w:lineRule="exact"/>
              <w:jc w:val="left"/>
            </w:pPr>
            <w:r>
              <w:rPr>
                <w:rFonts w:eastAsia="方正仿宋_GBK"/>
                <w:sz w:val="19"/>
              </w:rPr>
              <w:t>①法定义务要求：依法应当留存的网络运行状态记录、网络安全事件记录及相关网络日志，存储周期必须严格不少于六个月（180天）；②采购人增强要求：平台自身的所有用户管理、配置变更、工单流转、权限分配等操作审计日志，统一在平台存储层持久化保存不少于180天。存储采用基于只读隔离与WORM机制的防篡改存储，支持日志导出防伪哈希校验，满足安全审计调证要求。</w:t>
            </w:r>
          </w:p>
        </w:tc>
      </w:tr>
    </w:tbl>
    <w:p w14:paraId="28D2AA8F">
      <w:pPr>
        <w:spacing w:before="40" w:after="80"/>
      </w:pPr>
    </w:p>
    <w:p w14:paraId="34E5E8F8">
      <w:pPr>
        <w:spacing w:before="20" w:after="40" w:line="380" w:lineRule="exact"/>
        <w:ind w:firstLine="480" w:firstLineChars="200"/>
        <w:rPr>
          <w:rFonts w:eastAsia="方正仿宋_GBK"/>
          <w:sz w:val="24"/>
        </w:rPr>
      </w:pPr>
      <w:r>
        <w:rPr>
          <w:rFonts w:eastAsia="方正仿宋_GBK"/>
          <w:sz w:val="24"/>
        </w:rPr>
        <w:t>3.6 运维流程管理（ITSM）与临床移动服务模块</w:t>
      </w:r>
    </w:p>
    <w:tbl>
      <w:tblPr>
        <w:tblStyle w:val="57"/>
        <w:tblW w:w="0" w:type="auto"/>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1083"/>
        <w:gridCol w:w="2273"/>
        <w:gridCol w:w="5772"/>
      </w:tblGrid>
      <w:tr w14:paraId="1524F6DE">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PrEx>
        <w:trPr>
          <w:cantSplit/>
          <w:tblHeader/>
          <w:jc w:val="center"/>
        </w:trPr>
        <w:tc>
          <w:tcPr>
            <w:tcW w:w="1083" w:type="dxa"/>
            <w:shd w:val="clear" w:color="auto" w:fill="EBF1F8"/>
            <w:tcMar>
              <w:top w:w="120" w:type="dxa"/>
              <w:left w:w="140" w:type="dxa"/>
              <w:bottom w:w="120" w:type="dxa"/>
              <w:right w:w="140" w:type="dxa"/>
            </w:tcMar>
            <w:vAlign w:val="center"/>
          </w:tcPr>
          <w:p w14:paraId="732754B2">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序号</w:t>
            </w:r>
          </w:p>
        </w:tc>
        <w:tc>
          <w:tcPr>
            <w:tcW w:w="2273" w:type="dxa"/>
            <w:shd w:val="clear" w:color="auto" w:fill="EBF1F8"/>
            <w:tcMar>
              <w:top w:w="120" w:type="dxa"/>
              <w:left w:w="140" w:type="dxa"/>
              <w:bottom w:w="120" w:type="dxa"/>
              <w:right w:w="140" w:type="dxa"/>
            </w:tcMar>
            <w:vAlign w:val="center"/>
          </w:tcPr>
          <w:p w14:paraId="46E9325D">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功能模块</w:t>
            </w:r>
          </w:p>
        </w:tc>
        <w:tc>
          <w:tcPr>
            <w:tcW w:w="5772" w:type="dxa"/>
            <w:shd w:val="clear" w:color="auto" w:fill="EBF1F8"/>
            <w:tcMar>
              <w:top w:w="120" w:type="dxa"/>
              <w:left w:w="140" w:type="dxa"/>
              <w:bottom w:w="120" w:type="dxa"/>
              <w:right w:w="140" w:type="dxa"/>
            </w:tcMar>
            <w:vAlign w:val="center"/>
          </w:tcPr>
          <w:p w14:paraId="7B3E03CE">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详细技术规格与功能说明</w:t>
            </w:r>
          </w:p>
        </w:tc>
      </w:tr>
      <w:tr w14:paraId="48411454">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3" w:type="dxa"/>
            <w:tcMar>
              <w:top w:w="90" w:type="dxa"/>
              <w:left w:w="130" w:type="dxa"/>
              <w:bottom w:w="90" w:type="dxa"/>
              <w:right w:w="130" w:type="dxa"/>
            </w:tcMar>
            <w:vAlign w:val="center"/>
          </w:tcPr>
          <w:p w14:paraId="461F4E08">
            <w:pPr>
              <w:spacing w:line="320" w:lineRule="exact"/>
              <w:jc w:val="center"/>
            </w:pPr>
            <w:r>
              <w:rPr>
                <w:rFonts w:eastAsia="方正仿宋_GBK"/>
                <w:sz w:val="19"/>
              </w:rPr>
              <w:t>3.6.1</w:t>
            </w:r>
          </w:p>
        </w:tc>
        <w:tc>
          <w:tcPr>
            <w:tcW w:w="2273" w:type="dxa"/>
            <w:tcMar>
              <w:top w:w="90" w:type="dxa"/>
              <w:left w:w="130" w:type="dxa"/>
              <w:bottom w:w="90" w:type="dxa"/>
              <w:right w:w="130" w:type="dxa"/>
            </w:tcMar>
            <w:vAlign w:val="center"/>
          </w:tcPr>
          <w:p w14:paraId="3A016944">
            <w:pPr>
              <w:spacing w:line="320" w:lineRule="exact"/>
              <w:jc w:val="left"/>
            </w:pPr>
            <w:r>
              <w:rPr>
                <w:rFonts w:eastAsia="方正仿宋_GBK"/>
                <w:sz w:val="19"/>
              </w:rPr>
              <w:t>工单全生命周期管理</w:t>
            </w:r>
          </w:p>
        </w:tc>
        <w:tc>
          <w:tcPr>
            <w:tcW w:w="5772" w:type="dxa"/>
            <w:tcMar>
              <w:top w:w="90" w:type="dxa"/>
              <w:left w:w="130" w:type="dxa"/>
              <w:bottom w:w="90" w:type="dxa"/>
              <w:right w:w="130" w:type="dxa"/>
            </w:tcMar>
            <w:vAlign w:val="center"/>
          </w:tcPr>
          <w:p w14:paraId="63301FCE">
            <w:pPr>
              <w:spacing w:line="320" w:lineRule="exact"/>
              <w:jc w:val="left"/>
            </w:pPr>
            <w:r>
              <w:rPr>
                <w:rFonts w:eastAsia="方正仿宋_GBK"/>
                <w:sz w:val="19"/>
              </w:rPr>
              <w:t>支持工单全流程标准化流转：工单创建→智能分派/抢单→工程师接单响应→现场/远程处置→挂起/转派/协同→解决关单→服务评价。各节点流转均自动记录系统生成的时间戳，实现运维操作审计追踪留痕。</w:t>
            </w:r>
          </w:p>
        </w:tc>
      </w:tr>
      <w:tr w14:paraId="4B792A5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3" w:type="dxa"/>
            <w:shd w:val="clear" w:color="auto" w:fill="F9FBFC"/>
            <w:tcMar>
              <w:top w:w="90" w:type="dxa"/>
              <w:left w:w="130" w:type="dxa"/>
              <w:bottom w:w="90" w:type="dxa"/>
              <w:right w:w="130" w:type="dxa"/>
            </w:tcMar>
            <w:vAlign w:val="center"/>
          </w:tcPr>
          <w:p w14:paraId="03B5A2FA">
            <w:pPr>
              <w:spacing w:line="320" w:lineRule="exact"/>
              <w:jc w:val="center"/>
            </w:pPr>
            <w:r>
              <w:rPr>
                <w:rFonts w:eastAsia="方正仿宋_GBK"/>
                <w:sz w:val="19"/>
              </w:rPr>
              <w:t>3.6.2</w:t>
            </w:r>
          </w:p>
        </w:tc>
        <w:tc>
          <w:tcPr>
            <w:tcW w:w="2273" w:type="dxa"/>
            <w:shd w:val="clear" w:color="auto" w:fill="F9FBFC"/>
            <w:tcMar>
              <w:top w:w="90" w:type="dxa"/>
              <w:left w:w="130" w:type="dxa"/>
              <w:bottom w:w="90" w:type="dxa"/>
              <w:right w:w="130" w:type="dxa"/>
            </w:tcMar>
            <w:vAlign w:val="center"/>
          </w:tcPr>
          <w:p w14:paraId="6A39F6BB">
            <w:pPr>
              <w:spacing w:line="320" w:lineRule="exact"/>
              <w:jc w:val="left"/>
            </w:pPr>
            <w:r>
              <w:rPr>
                <w:rFonts w:eastAsia="方正仿宋_GBK"/>
                <w:sz w:val="19"/>
              </w:rPr>
              <w:t>工单多类型自定义模板</w:t>
            </w:r>
          </w:p>
        </w:tc>
        <w:tc>
          <w:tcPr>
            <w:tcW w:w="5772" w:type="dxa"/>
            <w:shd w:val="clear" w:color="auto" w:fill="F9FBFC"/>
            <w:tcMar>
              <w:top w:w="90" w:type="dxa"/>
              <w:left w:w="130" w:type="dxa"/>
              <w:bottom w:w="90" w:type="dxa"/>
              <w:right w:w="130" w:type="dxa"/>
            </w:tcMar>
            <w:vAlign w:val="center"/>
          </w:tcPr>
          <w:p w14:paraId="4CBB60B0">
            <w:pPr>
              <w:spacing w:line="320" w:lineRule="exact"/>
              <w:jc w:val="left"/>
            </w:pPr>
            <w:r>
              <w:rPr>
                <w:rFonts w:eastAsia="方正仿宋_GBK"/>
                <w:sz w:val="19"/>
              </w:rPr>
              <w:t>内置故障报修、配置变更申请、信息需求提报、权限申请、业务咨询、日常巡检等多类工单模板；提供可视化表单配置器，支持按需自定义字段、必填规则、附件上传及审批路由分支。</w:t>
            </w:r>
          </w:p>
        </w:tc>
      </w:tr>
      <w:tr w14:paraId="74CB6EB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3" w:type="dxa"/>
            <w:tcMar>
              <w:top w:w="90" w:type="dxa"/>
              <w:left w:w="130" w:type="dxa"/>
              <w:bottom w:w="90" w:type="dxa"/>
              <w:right w:w="130" w:type="dxa"/>
            </w:tcMar>
            <w:vAlign w:val="center"/>
          </w:tcPr>
          <w:p w14:paraId="0259FC63">
            <w:pPr>
              <w:spacing w:line="320" w:lineRule="exact"/>
              <w:jc w:val="center"/>
            </w:pPr>
            <w:r>
              <w:rPr>
                <w:rFonts w:eastAsia="方正仿宋_GBK"/>
                <w:sz w:val="19"/>
              </w:rPr>
              <w:t>3.6.3</w:t>
            </w:r>
          </w:p>
        </w:tc>
        <w:tc>
          <w:tcPr>
            <w:tcW w:w="2273" w:type="dxa"/>
            <w:tcMar>
              <w:top w:w="90" w:type="dxa"/>
              <w:left w:w="130" w:type="dxa"/>
              <w:bottom w:w="90" w:type="dxa"/>
              <w:right w:w="130" w:type="dxa"/>
            </w:tcMar>
            <w:vAlign w:val="center"/>
          </w:tcPr>
          <w:p w14:paraId="51341EF5">
            <w:pPr>
              <w:spacing w:line="320" w:lineRule="exact"/>
              <w:jc w:val="left"/>
            </w:pPr>
            <w:r>
              <w:rPr>
                <w:rFonts w:eastAsia="方正仿宋_GBK"/>
                <w:sz w:val="19"/>
              </w:rPr>
              <w:t>SLA时效闭环管控机制</w:t>
            </w:r>
          </w:p>
        </w:tc>
        <w:tc>
          <w:tcPr>
            <w:tcW w:w="5772" w:type="dxa"/>
            <w:tcMar>
              <w:top w:w="90" w:type="dxa"/>
              <w:left w:w="130" w:type="dxa"/>
              <w:bottom w:w="90" w:type="dxa"/>
              <w:right w:w="130" w:type="dxa"/>
            </w:tcMar>
            <w:vAlign w:val="center"/>
          </w:tcPr>
          <w:p w14:paraId="5794714D">
            <w:pPr>
              <w:spacing w:line="320" w:lineRule="exact"/>
              <w:jc w:val="left"/>
            </w:pPr>
            <w:r>
              <w:rPr>
                <w:rFonts w:eastAsia="方正仿宋_GBK"/>
                <w:sz w:val="19"/>
              </w:rPr>
              <w:t>支持根据工单紧急度与服务类型设置精细化SLA响应时限及解决时限考核指标；工单超时前系统自动通过企业微信/短信发起分级催办预警；系统自动统计各运维小组及个人的工单响应率、解决率、SLA达成率及临床服务满意度评价。</w:t>
            </w:r>
          </w:p>
        </w:tc>
      </w:tr>
      <w:tr w14:paraId="79C45DF5">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3" w:type="dxa"/>
            <w:shd w:val="clear" w:color="auto" w:fill="F9FBFC"/>
            <w:tcMar>
              <w:top w:w="90" w:type="dxa"/>
              <w:left w:w="130" w:type="dxa"/>
              <w:bottom w:w="90" w:type="dxa"/>
              <w:right w:w="130" w:type="dxa"/>
            </w:tcMar>
            <w:vAlign w:val="center"/>
          </w:tcPr>
          <w:p w14:paraId="3B6330DB">
            <w:pPr>
              <w:spacing w:line="320" w:lineRule="exact"/>
              <w:jc w:val="center"/>
            </w:pPr>
            <w:r>
              <w:rPr>
                <w:rFonts w:eastAsia="方正仿宋_GBK"/>
                <w:sz w:val="19"/>
              </w:rPr>
              <w:t>3.6.4</w:t>
            </w:r>
          </w:p>
        </w:tc>
        <w:tc>
          <w:tcPr>
            <w:tcW w:w="2273" w:type="dxa"/>
            <w:shd w:val="clear" w:color="auto" w:fill="F9FBFC"/>
            <w:tcMar>
              <w:top w:w="90" w:type="dxa"/>
              <w:left w:w="130" w:type="dxa"/>
              <w:bottom w:w="90" w:type="dxa"/>
              <w:right w:w="130" w:type="dxa"/>
            </w:tcMar>
            <w:vAlign w:val="center"/>
          </w:tcPr>
          <w:p w14:paraId="67561B65">
            <w:pPr>
              <w:spacing w:line="320" w:lineRule="exact"/>
              <w:jc w:val="left"/>
            </w:pPr>
            <w:r>
              <w:rPr>
                <w:rFonts w:eastAsia="方正仿宋_GBK"/>
                <w:sz w:val="19"/>
              </w:rPr>
              <w:t>临床科室移动端“扫码报修”与“自助服务台”定制</w:t>
            </w:r>
          </w:p>
        </w:tc>
        <w:tc>
          <w:tcPr>
            <w:tcW w:w="5772" w:type="dxa"/>
            <w:shd w:val="clear" w:color="auto" w:fill="F9FBFC"/>
            <w:tcMar>
              <w:top w:w="90" w:type="dxa"/>
              <w:left w:w="130" w:type="dxa"/>
              <w:bottom w:w="90" w:type="dxa"/>
              <w:right w:w="130" w:type="dxa"/>
            </w:tcMar>
            <w:vAlign w:val="center"/>
          </w:tcPr>
          <w:p w14:paraId="6D65E9B9">
            <w:pPr>
              <w:spacing w:line="320" w:lineRule="exact"/>
              <w:jc w:val="left"/>
            </w:pPr>
            <w:r>
              <w:rPr>
                <w:rFonts w:eastAsia="方正仿宋_GBK"/>
                <w:sz w:val="19"/>
              </w:rPr>
              <w:t>针对临床医护人员移动报修场景进行深度定制开发：①支持一物一码扫描：医护人员通过企业微信、钉钉或医院APP扫描粘贴在终端电脑、打印机、医用设备上的唯一二维码/条码资产标签，系统自动识别设备位置、型号、科室并一键自动填单报修；②移动端自助服务台：提供移动端故障知识自查与智能问答，支持随时查看报修工单处理实时进度与工程师联络方式；③维修完成后支持医护人员进行五星打分与服务意见反馈。</w:t>
            </w:r>
          </w:p>
        </w:tc>
      </w:tr>
      <w:tr w14:paraId="2F122F2C">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3" w:type="dxa"/>
            <w:tcMar>
              <w:top w:w="90" w:type="dxa"/>
              <w:left w:w="130" w:type="dxa"/>
              <w:bottom w:w="90" w:type="dxa"/>
              <w:right w:w="130" w:type="dxa"/>
            </w:tcMar>
            <w:vAlign w:val="center"/>
          </w:tcPr>
          <w:p w14:paraId="7D5574AA">
            <w:pPr>
              <w:spacing w:line="320" w:lineRule="exact"/>
              <w:jc w:val="center"/>
            </w:pPr>
            <w:r>
              <w:rPr>
                <w:rFonts w:eastAsia="方正仿宋_GBK"/>
                <w:sz w:val="19"/>
              </w:rPr>
              <w:t>3.6.5</w:t>
            </w:r>
          </w:p>
        </w:tc>
        <w:tc>
          <w:tcPr>
            <w:tcW w:w="2273" w:type="dxa"/>
            <w:tcMar>
              <w:top w:w="90" w:type="dxa"/>
              <w:left w:w="130" w:type="dxa"/>
              <w:bottom w:w="90" w:type="dxa"/>
              <w:right w:w="130" w:type="dxa"/>
            </w:tcMar>
            <w:vAlign w:val="center"/>
          </w:tcPr>
          <w:p w14:paraId="526996EB">
            <w:pPr>
              <w:spacing w:line="320" w:lineRule="exact"/>
              <w:jc w:val="left"/>
            </w:pPr>
            <w:r>
              <w:rPr>
                <w:rFonts w:eastAsia="方正仿宋_GBK"/>
                <w:sz w:val="19"/>
              </w:rPr>
              <w:t>待办池与重大事件管理</w:t>
            </w:r>
          </w:p>
        </w:tc>
        <w:tc>
          <w:tcPr>
            <w:tcW w:w="5772" w:type="dxa"/>
            <w:tcMar>
              <w:top w:w="90" w:type="dxa"/>
              <w:left w:w="130" w:type="dxa"/>
              <w:bottom w:w="90" w:type="dxa"/>
              <w:right w:w="130" w:type="dxa"/>
            </w:tcMar>
            <w:vAlign w:val="center"/>
          </w:tcPr>
          <w:p w14:paraId="37CF8445">
            <w:pPr>
              <w:spacing w:line="320" w:lineRule="exact"/>
              <w:jc w:val="left"/>
            </w:pPr>
            <w:r>
              <w:rPr>
                <w:rFonts w:eastAsia="方正仿宋_GBK"/>
                <w:sz w:val="19"/>
              </w:rPr>
              <w:t>提供个人待办与科室待办集中任务池；针对重大突发事件（如网络瘫痪、HIS瘫痪）提供重大事件升级通道，支持一键拉起跨专业应急协同群组、关联资产与告警、固化处置时间线并输出事件复盘报告。</w:t>
            </w:r>
          </w:p>
        </w:tc>
      </w:tr>
      <w:tr w14:paraId="381109A8">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3" w:type="dxa"/>
            <w:shd w:val="clear" w:color="auto" w:fill="F9FBFC"/>
            <w:tcMar>
              <w:top w:w="90" w:type="dxa"/>
              <w:left w:w="130" w:type="dxa"/>
              <w:bottom w:w="90" w:type="dxa"/>
              <w:right w:w="130" w:type="dxa"/>
            </w:tcMar>
            <w:vAlign w:val="center"/>
          </w:tcPr>
          <w:p w14:paraId="67A8783C">
            <w:pPr>
              <w:spacing w:line="320" w:lineRule="exact"/>
              <w:jc w:val="center"/>
            </w:pPr>
            <w:r>
              <w:rPr>
                <w:rFonts w:eastAsia="方正仿宋_GBK"/>
                <w:sz w:val="19"/>
              </w:rPr>
              <w:t>3.6.6</w:t>
            </w:r>
          </w:p>
        </w:tc>
        <w:tc>
          <w:tcPr>
            <w:tcW w:w="2273" w:type="dxa"/>
            <w:shd w:val="clear" w:color="auto" w:fill="F9FBFC"/>
            <w:tcMar>
              <w:top w:w="90" w:type="dxa"/>
              <w:left w:w="130" w:type="dxa"/>
              <w:bottom w:w="90" w:type="dxa"/>
              <w:right w:w="130" w:type="dxa"/>
            </w:tcMar>
            <w:vAlign w:val="center"/>
          </w:tcPr>
          <w:p w14:paraId="45197A0D">
            <w:pPr>
              <w:spacing w:line="320" w:lineRule="exact"/>
              <w:jc w:val="left"/>
            </w:pPr>
            <w:r>
              <w:rPr>
                <w:rFonts w:eastAsia="方正仿宋_GBK"/>
                <w:sz w:val="19"/>
              </w:rPr>
              <w:t>值班排班管理</w:t>
            </w:r>
          </w:p>
        </w:tc>
        <w:tc>
          <w:tcPr>
            <w:tcW w:w="5772" w:type="dxa"/>
            <w:shd w:val="clear" w:color="auto" w:fill="F9FBFC"/>
            <w:tcMar>
              <w:top w:w="90" w:type="dxa"/>
              <w:left w:w="130" w:type="dxa"/>
              <w:bottom w:w="90" w:type="dxa"/>
              <w:right w:w="130" w:type="dxa"/>
            </w:tcMar>
            <w:vAlign w:val="center"/>
          </w:tcPr>
          <w:p w14:paraId="7D6C1FE8">
            <w:pPr>
              <w:spacing w:line="320" w:lineRule="exact"/>
              <w:jc w:val="left"/>
            </w:pPr>
            <w:r>
              <w:rPr>
                <w:rFonts w:eastAsia="方正仿宋_GBK"/>
                <w:sz w:val="19"/>
              </w:rPr>
              <w:t>提供在线排班日历工具，支持按月/周进行一线、二线工程师值班排班编排；支持换班申请与审批；系统告警与日常工单自动根据实时值班表精准路由到当前在岗值班人员。</w:t>
            </w:r>
          </w:p>
        </w:tc>
      </w:tr>
      <w:tr w14:paraId="4DF6C03F">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83" w:type="dxa"/>
            <w:tcMar>
              <w:top w:w="90" w:type="dxa"/>
              <w:left w:w="130" w:type="dxa"/>
              <w:bottom w:w="90" w:type="dxa"/>
              <w:right w:w="130" w:type="dxa"/>
            </w:tcMar>
            <w:vAlign w:val="center"/>
          </w:tcPr>
          <w:p w14:paraId="00AC4DF9">
            <w:pPr>
              <w:spacing w:line="320" w:lineRule="exact"/>
              <w:jc w:val="center"/>
            </w:pPr>
            <w:r>
              <w:rPr>
                <w:rFonts w:eastAsia="方正仿宋_GBK"/>
                <w:sz w:val="19"/>
              </w:rPr>
              <w:t>3.6.7</w:t>
            </w:r>
          </w:p>
        </w:tc>
        <w:tc>
          <w:tcPr>
            <w:tcW w:w="2273" w:type="dxa"/>
            <w:tcMar>
              <w:top w:w="90" w:type="dxa"/>
              <w:left w:w="130" w:type="dxa"/>
              <w:bottom w:w="90" w:type="dxa"/>
              <w:right w:w="130" w:type="dxa"/>
            </w:tcMar>
            <w:vAlign w:val="center"/>
          </w:tcPr>
          <w:p w14:paraId="6D37F80F">
            <w:pPr>
              <w:spacing w:line="320" w:lineRule="exact"/>
              <w:jc w:val="left"/>
            </w:pPr>
            <w:r>
              <w:rPr>
                <w:rFonts w:eastAsia="方正仿宋_GBK"/>
                <w:sz w:val="19"/>
              </w:rPr>
              <w:t>运维知识库与知识复用</w:t>
            </w:r>
          </w:p>
        </w:tc>
        <w:tc>
          <w:tcPr>
            <w:tcW w:w="5772" w:type="dxa"/>
            <w:tcMar>
              <w:top w:w="90" w:type="dxa"/>
              <w:left w:w="130" w:type="dxa"/>
              <w:bottom w:w="90" w:type="dxa"/>
              <w:right w:w="130" w:type="dxa"/>
            </w:tcMar>
            <w:vAlign w:val="center"/>
          </w:tcPr>
          <w:p w14:paraId="173456E8">
            <w:pPr>
              <w:spacing w:line="320" w:lineRule="exact"/>
              <w:jc w:val="left"/>
            </w:pPr>
            <w:r>
              <w:rPr>
                <w:rFonts w:eastAsia="方正仿宋_GBK"/>
                <w:sz w:val="19"/>
              </w:rPr>
              <w:t>建立知识库沉淀与知识问答机制。工单解决后支持一键提取关键故障现象与排查方案生成知识草稿，经审核后入库；支持知识标签化分类与智能搜索，辅助工程师快速检索历史同类解决方案，提升整体排障效率。</w:t>
            </w:r>
          </w:p>
        </w:tc>
      </w:tr>
    </w:tbl>
    <w:p w14:paraId="0E3A130C">
      <w:pPr>
        <w:spacing w:before="40" w:after="80"/>
      </w:pPr>
    </w:p>
    <w:p w14:paraId="64F964E3">
      <w:pPr>
        <w:spacing w:before="20" w:after="40" w:line="380" w:lineRule="exact"/>
        <w:ind w:firstLine="480" w:firstLineChars="200"/>
        <w:rPr>
          <w:rFonts w:eastAsia="方正仿宋_GBK"/>
          <w:sz w:val="24"/>
        </w:rPr>
      </w:pPr>
      <w:r>
        <w:rPr>
          <w:rFonts w:eastAsia="方正仿宋_GBK"/>
          <w:sz w:val="24"/>
        </w:rPr>
        <w:t>3.7 资产配置管理（CMDB）与设备全生命周期健康档案</w:t>
      </w:r>
    </w:p>
    <w:tbl>
      <w:tblPr>
        <w:tblStyle w:val="57"/>
        <w:tblW w:w="0" w:type="auto"/>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1066"/>
        <w:gridCol w:w="2310"/>
        <w:gridCol w:w="5743"/>
      </w:tblGrid>
      <w:tr w14:paraId="11BB7DF8">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blHeader/>
          <w:jc w:val="center"/>
        </w:trPr>
        <w:tc>
          <w:tcPr>
            <w:tcW w:w="1066" w:type="dxa"/>
            <w:shd w:val="clear" w:color="auto" w:fill="EBF1F8"/>
            <w:tcMar>
              <w:top w:w="120" w:type="dxa"/>
              <w:left w:w="140" w:type="dxa"/>
              <w:bottom w:w="120" w:type="dxa"/>
              <w:right w:w="140" w:type="dxa"/>
            </w:tcMar>
            <w:vAlign w:val="center"/>
          </w:tcPr>
          <w:p w14:paraId="4EA034C7">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序号</w:t>
            </w:r>
          </w:p>
        </w:tc>
        <w:tc>
          <w:tcPr>
            <w:tcW w:w="2310" w:type="dxa"/>
            <w:shd w:val="clear" w:color="auto" w:fill="EBF1F8"/>
            <w:tcMar>
              <w:top w:w="120" w:type="dxa"/>
              <w:left w:w="140" w:type="dxa"/>
              <w:bottom w:w="120" w:type="dxa"/>
              <w:right w:w="140" w:type="dxa"/>
            </w:tcMar>
            <w:vAlign w:val="center"/>
          </w:tcPr>
          <w:p w14:paraId="731587BD">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功能模块</w:t>
            </w:r>
          </w:p>
        </w:tc>
        <w:tc>
          <w:tcPr>
            <w:tcW w:w="5743" w:type="dxa"/>
            <w:shd w:val="clear" w:color="auto" w:fill="EBF1F8"/>
            <w:tcMar>
              <w:top w:w="120" w:type="dxa"/>
              <w:left w:w="140" w:type="dxa"/>
              <w:bottom w:w="120" w:type="dxa"/>
              <w:right w:w="140" w:type="dxa"/>
            </w:tcMar>
            <w:vAlign w:val="center"/>
          </w:tcPr>
          <w:p w14:paraId="1C054883">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详细技术规格与功能说明</w:t>
            </w:r>
          </w:p>
        </w:tc>
      </w:tr>
      <w:tr w14:paraId="1BE15902">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66" w:type="dxa"/>
            <w:tcMar>
              <w:top w:w="90" w:type="dxa"/>
              <w:left w:w="130" w:type="dxa"/>
              <w:bottom w:w="90" w:type="dxa"/>
              <w:right w:w="130" w:type="dxa"/>
            </w:tcMar>
            <w:vAlign w:val="center"/>
          </w:tcPr>
          <w:p w14:paraId="60DC454B">
            <w:pPr>
              <w:spacing w:line="320" w:lineRule="exact"/>
              <w:jc w:val="center"/>
            </w:pPr>
            <w:r>
              <w:rPr>
                <w:rFonts w:eastAsia="方正仿宋_GBK"/>
                <w:sz w:val="19"/>
              </w:rPr>
              <w:t>3.7.1</w:t>
            </w:r>
          </w:p>
        </w:tc>
        <w:tc>
          <w:tcPr>
            <w:tcW w:w="2310" w:type="dxa"/>
            <w:tcMar>
              <w:top w:w="90" w:type="dxa"/>
              <w:left w:w="130" w:type="dxa"/>
              <w:bottom w:w="90" w:type="dxa"/>
              <w:right w:w="130" w:type="dxa"/>
            </w:tcMar>
            <w:vAlign w:val="center"/>
          </w:tcPr>
          <w:p w14:paraId="7D5B42E8">
            <w:pPr>
              <w:spacing w:line="320" w:lineRule="exact"/>
              <w:jc w:val="left"/>
            </w:pPr>
            <w:r>
              <w:rPr>
                <w:rFonts w:eastAsia="方正仿宋_GBK"/>
                <w:sz w:val="19"/>
              </w:rPr>
              <w:t>统一资产配置台账（CMDB）</w:t>
            </w:r>
          </w:p>
        </w:tc>
        <w:tc>
          <w:tcPr>
            <w:tcW w:w="5743" w:type="dxa"/>
            <w:tcMar>
              <w:top w:w="90" w:type="dxa"/>
              <w:left w:w="130" w:type="dxa"/>
              <w:bottom w:w="90" w:type="dxa"/>
              <w:right w:w="130" w:type="dxa"/>
            </w:tcMar>
            <w:vAlign w:val="center"/>
          </w:tcPr>
          <w:p w14:paraId="3122B75E">
            <w:pPr>
              <w:spacing w:line="320" w:lineRule="exact"/>
              <w:jc w:val="left"/>
            </w:pPr>
            <w:r>
              <w:rPr>
                <w:rFonts w:eastAsia="方正仿宋_GBK"/>
                <w:sz w:val="19"/>
              </w:rPr>
              <w:t>支持全面登记管理网络设备、服务器、存储、安全设备、虚拟机、操作系统、数据库、中间件、应用软件系统、机房机柜、PC终端、打印机及医用网络终端等全量资产；支持自定义扩展资产模型、属性字段与分类层级。</w:t>
            </w:r>
          </w:p>
        </w:tc>
      </w:tr>
      <w:tr w14:paraId="74BE89B0">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rHeight w:val="1362" w:hRule="atLeast"/>
          <w:jc w:val="center"/>
        </w:trPr>
        <w:tc>
          <w:tcPr>
            <w:tcW w:w="1066" w:type="dxa"/>
            <w:shd w:val="clear" w:color="auto" w:fill="F9FBFC"/>
            <w:tcMar>
              <w:top w:w="90" w:type="dxa"/>
              <w:left w:w="130" w:type="dxa"/>
              <w:bottom w:w="90" w:type="dxa"/>
              <w:right w:w="130" w:type="dxa"/>
            </w:tcMar>
            <w:vAlign w:val="center"/>
          </w:tcPr>
          <w:p w14:paraId="2F205C9F">
            <w:pPr>
              <w:spacing w:line="320" w:lineRule="exact"/>
              <w:jc w:val="center"/>
            </w:pPr>
            <w:r>
              <w:rPr>
                <w:rFonts w:eastAsia="方正仿宋_GBK"/>
                <w:sz w:val="19"/>
              </w:rPr>
              <w:t>3.7.2</w:t>
            </w:r>
          </w:p>
        </w:tc>
        <w:tc>
          <w:tcPr>
            <w:tcW w:w="2310" w:type="dxa"/>
            <w:shd w:val="clear" w:color="auto" w:fill="F9FBFC"/>
            <w:tcMar>
              <w:top w:w="90" w:type="dxa"/>
              <w:left w:w="130" w:type="dxa"/>
              <w:bottom w:w="90" w:type="dxa"/>
              <w:right w:w="130" w:type="dxa"/>
            </w:tcMar>
            <w:vAlign w:val="center"/>
          </w:tcPr>
          <w:p w14:paraId="078E10C3">
            <w:pPr>
              <w:spacing w:line="320" w:lineRule="exact"/>
              <w:jc w:val="left"/>
            </w:pPr>
            <w:r>
              <w:rPr>
                <w:rFonts w:eastAsia="方正仿宋_GBK"/>
                <w:sz w:val="19"/>
              </w:rPr>
              <w:t>多维资产拓扑与配置关联关系</w:t>
            </w:r>
          </w:p>
        </w:tc>
        <w:tc>
          <w:tcPr>
            <w:tcW w:w="5743" w:type="dxa"/>
            <w:shd w:val="clear" w:color="auto" w:fill="F9FBFC"/>
            <w:tcMar>
              <w:top w:w="90" w:type="dxa"/>
              <w:left w:w="130" w:type="dxa"/>
              <w:bottom w:w="90" w:type="dxa"/>
              <w:right w:w="130" w:type="dxa"/>
            </w:tcMar>
            <w:vAlign w:val="center"/>
          </w:tcPr>
          <w:p w14:paraId="7025C9E0">
            <w:pPr>
              <w:spacing w:line="320" w:lineRule="exact"/>
              <w:jc w:val="left"/>
            </w:pPr>
            <w:r>
              <w:rPr>
                <w:rFonts w:eastAsia="方正仿宋_GBK"/>
                <w:sz w:val="19"/>
              </w:rPr>
              <w:t>CMDB必须具备强大的多维关联拓扑建模能力，建立“业务系统—微服务应用—数据库—操作系统—虚拟机—物理宿主机—接入交换机—机柜机房—</w:t>
            </w:r>
            <w:r>
              <w:rPr>
                <w:rFonts w:hint="eastAsia" w:eastAsia="方正仿宋_GBK"/>
                <w:sz w:val="19"/>
              </w:rPr>
              <w:t>中标人</w:t>
            </w:r>
            <w:r>
              <w:rPr>
                <w:rFonts w:eastAsia="方正仿宋_GBK"/>
                <w:sz w:val="19"/>
              </w:rPr>
              <w:t>合同”的多层级血缘依赖关联图谱，支持自顶向下与自底向上的双向影响分析。</w:t>
            </w:r>
          </w:p>
        </w:tc>
      </w:tr>
      <w:tr w14:paraId="1884D028">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66" w:type="dxa"/>
            <w:tcMar>
              <w:top w:w="90" w:type="dxa"/>
              <w:left w:w="130" w:type="dxa"/>
              <w:bottom w:w="90" w:type="dxa"/>
              <w:right w:w="130" w:type="dxa"/>
            </w:tcMar>
            <w:vAlign w:val="center"/>
          </w:tcPr>
          <w:p w14:paraId="4CB513C2">
            <w:pPr>
              <w:spacing w:line="320" w:lineRule="exact"/>
              <w:jc w:val="center"/>
            </w:pPr>
            <w:r>
              <w:rPr>
                <w:rFonts w:eastAsia="方正仿宋_GBK"/>
                <w:sz w:val="19"/>
              </w:rPr>
              <w:t>3.7.3</w:t>
            </w:r>
          </w:p>
        </w:tc>
        <w:tc>
          <w:tcPr>
            <w:tcW w:w="2310" w:type="dxa"/>
            <w:tcMar>
              <w:top w:w="90" w:type="dxa"/>
              <w:left w:w="130" w:type="dxa"/>
              <w:bottom w:w="90" w:type="dxa"/>
              <w:right w:w="130" w:type="dxa"/>
            </w:tcMar>
            <w:vAlign w:val="center"/>
          </w:tcPr>
          <w:p w14:paraId="59C3C5D4">
            <w:pPr>
              <w:spacing w:line="320" w:lineRule="exact"/>
              <w:jc w:val="left"/>
            </w:pPr>
            <w:r>
              <w:rPr>
                <w:rFonts w:eastAsia="方正仿宋_GBK"/>
                <w:sz w:val="19"/>
              </w:rPr>
              <w:t>资产自动发现与配置对账</w:t>
            </w:r>
          </w:p>
        </w:tc>
        <w:tc>
          <w:tcPr>
            <w:tcW w:w="5743" w:type="dxa"/>
            <w:tcMar>
              <w:top w:w="90" w:type="dxa"/>
              <w:left w:w="130" w:type="dxa"/>
              <w:bottom w:w="90" w:type="dxa"/>
              <w:right w:w="130" w:type="dxa"/>
            </w:tcMar>
            <w:vAlign w:val="center"/>
          </w:tcPr>
          <w:p w14:paraId="46893360">
            <w:pPr>
              <w:spacing w:line="320" w:lineRule="exact"/>
              <w:jc w:val="left"/>
            </w:pPr>
            <w:r>
              <w:rPr>
                <w:rFonts w:eastAsia="方正仿宋_GBK"/>
                <w:sz w:val="19"/>
              </w:rPr>
              <w:t>支持通过网络扫描、SNMP、Agent自动抓取IT资产配置数据（如CPU核数、内存大小、硬盘序列号、网卡MAC、安装补丁等），并与CMDB现有台账进行周期性自动化核对比对，智能标记未纳管资产、配置漂移项并提示更新审计。</w:t>
            </w:r>
          </w:p>
        </w:tc>
      </w:tr>
      <w:tr w14:paraId="56225F5A">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66" w:type="dxa"/>
            <w:shd w:val="clear" w:color="auto" w:fill="F9FBFC"/>
            <w:tcMar>
              <w:top w:w="90" w:type="dxa"/>
              <w:left w:w="130" w:type="dxa"/>
              <w:bottom w:w="90" w:type="dxa"/>
              <w:right w:w="130" w:type="dxa"/>
            </w:tcMar>
            <w:vAlign w:val="center"/>
          </w:tcPr>
          <w:p w14:paraId="3A323FAF">
            <w:pPr>
              <w:spacing w:line="320" w:lineRule="exact"/>
              <w:jc w:val="center"/>
            </w:pPr>
            <w:r>
              <w:rPr>
                <w:rFonts w:eastAsia="方正仿宋_GBK"/>
                <w:sz w:val="19"/>
              </w:rPr>
              <w:t>3.7.4</w:t>
            </w:r>
          </w:p>
        </w:tc>
        <w:tc>
          <w:tcPr>
            <w:tcW w:w="2310" w:type="dxa"/>
            <w:shd w:val="clear" w:color="auto" w:fill="F9FBFC"/>
            <w:tcMar>
              <w:top w:w="90" w:type="dxa"/>
              <w:left w:w="130" w:type="dxa"/>
              <w:bottom w:w="90" w:type="dxa"/>
              <w:right w:w="130" w:type="dxa"/>
            </w:tcMar>
            <w:vAlign w:val="center"/>
          </w:tcPr>
          <w:p w14:paraId="34C1FC69">
            <w:pPr>
              <w:spacing w:line="320" w:lineRule="exact"/>
              <w:jc w:val="left"/>
            </w:pPr>
            <w:r>
              <w:rPr>
                <w:rFonts w:hint="eastAsia" w:eastAsia="方正仿宋_GBK"/>
                <w:sz w:val="19"/>
              </w:rPr>
              <w:t>中标人</w:t>
            </w:r>
            <w:r>
              <w:rPr>
                <w:rFonts w:eastAsia="方正仿宋_GBK"/>
                <w:sz w:val="19"/>
              </w:rPr>
              <w:t>与维保合同SLA管理</w:t>
            </w:r>
          </w:p>
        </w:tc>
        <w:tc>
          <w:tcPr>
            <w:tcW w:w="5743" w:type="dxa"/>
            <w:shd w:val="clear" w:color="auto" w:fill="F9FBFC"/>
            <w:tcMar>
              <w:top w:w="90" w:type="dxa"/>
              <w:left w:w="130" w:type="dxa"/>
              <w:bottom w:w="90" w:type="dxa"/>
              <w:right w:w="130" w:type="dxa"/>
            </w:tcMar>
            <w:vAlign w:val="center"/>
          </w:tcPr>
          <w:p w14:paraId="10FD07D6">
            <w:pPr>
              <w:spacing w:line="320" w:lineRule="exact"/>
              <w:jc w:val="left"/>
            </w:pPr>
            <w:r>
              <w:rPr>
                <w:rFonts w:eastAsia="方正仿宋_GBK"/>
                <w:sz w:val="19"/>
              </w:rPr>
              <w:t>建立合格</w:t>
            </w:r>
            <w:r>
              <w:rPr>
                <w:rFonts w:hint="eastAsia" w:eastAsia="方正仿宋_GBK"/>
                <w:sz w:val="19"/>
              </w:rPr>
              <w:t>中标人</w:t>
            </w:r>
            <w:r>
              <w:rPr>
                <w:rFonts w:eastAsia="方正仿宋_GBK"/>
                <w:sz w:val="19"/>
              </w:rPr>
              <w:t>资料库、维保合同库与原厂服务条款档案；支持记录维保范围、合同金额、起止日期、服务SLA条款及紧急联络人；提供维保临期30/60/90天自动弹窗与短信催办预警，避免维保脱节风险。</w:t>
            </w:r>
          </w:p>
        </w:tc>
      </w:tr>
      <w:tr w14:paraId="5E8B24D3">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66" w:type="dxa"/>
            <w:tcMar>
              <w:top w:w="90" w:type="dxa"/>
              <w:left w:w="130" w:type="dxa"/>
              <w:bottom w:w="90" w:type="dxa"/>
              <w:right w:w="130" w:type="dxa"/>
            </w:tcMar>
            <w:vAlign w:val="center"/>
          </w:tcPr>
          <w:p w14:paraId="7FB0EBE3">
            <w:pPr>
              <w:spacing w:line="320" w:lineRule="exact"/>
              <w:jc w:val="center"/>
            </w:pPr>
            <w:r>
              <w:rPr>
                <w:rFonts w:eastAsia="方正仿宋_GBK"/>
                <w:sz w:val="19"/>
              </w:rPr>
              <w:t>3.7.5</w:t>
            </w:r>
          </w:p>
        </w:tc>
        <w:tc>
          <w:tcPr>
            <w:tcW w:w="2310" w:type="dxa"/>
            <w:tcMar>
              <w:top w:w="90" w:type="dxa"/>
              <w:left w:w="130" w:type="dxa"/>
              <w:bottom w:w="90" w:type="dxa"/>
              <w:right w:w="130" w:type="dxa"/>
            </w:tcMar>
            <w:vAlign w:val="center"/>
          </w:tcPr>
          <w:p w14:paraId="41566EC2">
            <w:pPr>
              <w:spacing w:line="320" w:lineRule="exact"/>
              <w:jc w:val="left"/>
            </w:pPr>
            <w:r>
              <w:rPr>
                <w:rFonts w:eastAsia="方正仿宋_GBK"/>
                <w:sz w:val="19"/>
              </w:rPr>
              <w:t>医疗IT设备“电子病历”与健康档案定制开发</w:t>
            </w:r>
          </w:p>
        </w:tc>
        <w:tc>
          <w:tcPr>
            <w:tcW w:w="5743" w:type="dxa"/>
            <w:tcMar>
              <w:top w:w="90" w:type="dxa"/>
              <w:left w:w="130" w:type="dxa"/>
              <w:bottom w:w="90" w:type="dxa"/>
              <w:right w:w="130" w:type="dxa"/>
            </w:tcMar>
            <w:vAlign w:val="center"/>
          </w:tcPr>
          <w:p w14:paraId="2BE3D5BB">
            <w:pPr>
              <w:spacing w:line="320" w:lineRule="exact"/>
              <w:jc w:val="left"/>
            </w:pPr>
            <w:r>
              <w:rPr>
                <w:rFonts w:eastAsia="方正仿宋_GBK"/>
                <w:sz w:val="19"/>
              </w:rPr>
              <w:t>针对医院设备精细化管理要求深度定制设备“电子病历”系统：每台设备拥有唯一的电子健康档案，全流程汇聚该设备生命周期内的“出生记录（采购到货、验收上架）、生长记录（配置变更、固件升级）、就诊记录（历史告警、故障报修、维修换件记录）、体检记录（日常巡检、性能指标基线）及维保履历”。</w:t>
            </w:r>
          </w:p>
        </w:tc>
      </w:tr>
      <w:tr w14:paraId="3A7A0DB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66" w:type="dxa"/>
            <w:shd w:val="clear" w:color="auto" w:fill="F9FBFC"/>
            <w:tcMar>
              <w:top w:w="90" w:type="dxa"/>
              <w:left w:w="130" w:type="dxa"/>
              <w:bottom w:w="90" w:type="dxa"/>
              <w:right w:w="130" w:type="dxa"/>
            </w:tcMar>
            <w:vAlign w:val="center"/>
          </w:tcPr>
          <w:p w14:paraId="1B108DD8">
            <w:pPr>
              <w:spacing w:line="320" w:lineRule="exact"/>
              <w:jc w:val="center"/>
            </w:pPr>
            <w:r>
              <w:rPr>
                <w:rFonts w:eastAsia="方正仿宋_GBK"/>
                <w:sz w:val="19"/>
              </w:rPr>
              <w:t>3.7.6</w:t>
            </w:r>
          </w:p>
        </w:tc>
        <w:tc>
          <w:tcPr>
            <w:tcW w:w="2310" w:type="dxa"/>
            <w:shd w:val="clear" w:color="auto" w:fill="F9FBFC"/>
            <w:tcMar>
              <w:top w:w="90" w:type="dxa"/>
              <w:left w:w="130" w:type="dxa"/>
              <w:bottom w:w="90" w:type="dxa"/>
              <w:right w:w="130" w:type="dxa"/>
            </w:tcMar>
            <w:vAlign w:val="center"/>
          </w:tcPr>
          <w:p w14:paraId="651E4D1E">
            <w:pPr>
              <w:spacing w:line="320" w:lineRule="exact"/>
              <w:jc w:val="left"/>
            </w:pPr>
            <w:r>
              <w:rPr>
                <w:rFonts w:eastAsia="方正仿宋_GBK"/>
                <w:sz w:val="19"/>
              </w:rPr>
              <w:t>设备健康度智能评分与预测模型</w:t>
            </w:r>
          </w:p>
        </w:tc>
        <w:tc>
          <w:tcPr>
            <w:tcW w:w="5743" w:type="dxa"/>
            <w:shd w:val="clear" w:color="auto" w:fill="F9FBFC"/>
            <w:tcMar>
              <w:top w:w="90" w:type="dxa"/>
              <w:left w:w="130" w:type="dxa"/>
              <w:bottom w:w="90" w:type="dxa"/>
              <w:right w:w="130" w:type="dxa"/>
            </w:tcMar>
            <w:vAlign w:val="center"/>
          </w:tcPr>
          <w:p w14:paraId="568153D6">
            <w:pPr>
              <w:spacing w:line="320" w:lineRule="exact"/>
              <w:jc w:val="left"/>
            </w:pPr>
            <w:r>
              <w:rPr>
                <w:rFonts w:eastAsia="方正仿宋_GBK"/>
                <w:sz w:val="19"/>
              </w:rPr>
              <w:t>基于设备历史告警频次(权重25%)、运行负载负荷(权重20%)、关键性能指标稳定性(权重20%)、设备服役年限(权重15%)、维修工单次数(权重10%)及维保状态(权重10%)六大维度，构建设备健康度加权评分数学模型（0~100分输出）；系统按日自动更新各设备得分并拟合健康劣化趋势曲线，对得分低于60分或呈快速下行趋势的设备自动输出维保/报废决策建议。</w:t>
            </w:r>
          </w:p>
        </w:tc>
      </w:tr>
      <w:tr w14:paraId="61C0BE5B">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066" w:type="dxa"/>
            <w:tcMar>
              <w:top w:w="90" w:type="dxa"/>
              <w:left w:w="130" w:type="dxa"/>
              <w:bottom w:w="90" w:type="dxa"/>
              <w:right w:w="130" w:type="dxa"/>
            </w:tcMar>
            <w:vAlign w:val="center"/>
          </w:tcPr>
          <w:p w14:paraId="776CD834">
            <w:pPr>
              <w:spacing w:line="320" w:lineRule="exact"/>
              <w:jc w:val="center"/>
            </w:pPr>
            <w:r>
              <w:rPr>
                <w:rFonts w:eastAsia="方正仿宋_GBK"/>
                <w:sz w:val="19"/>
              </w:rPr>
              <w:t>3.7.7</w:t>
            </w:r>
          </w:p>
        </w:tc>
        <w:tc>
          <w:tcPr>
            <w:tcW w:w="2310" w:type="dxa"/>
            <w:tcMar>
              <w:top w:w="90" w:type="dxa"/>
              <w:left w:w="130" w:type="dxa"/>
              <w:bottom w:w="90" w:type="dxa"/>
              <w:right w:w="130" w:type="dxa"/>
            </w:tcMar>
            <w:vAlign w:val="center"/>
          </w:tcPr>
          <w:p w14:paraId="25AF41F9">
            <w:pPr>
              <w:spacing w:line="320" w:lineRule="exact"/>
              <w:jc w:val="left"/>
            </w:pPr>
            <w:r>
              <w:rPr>
                <w:rFonts w:eastAsia="方正仿宋_GBK"/>
                <w:sz w:val="19"/>
              </w:rPr>
              <w:t>监控与CMDB双向联动穿透</w:t>
            </w:r>
          </w:p>
        </w:tc>
        <w:tc>
          <w:tcPr>
            <w:tcW w:w="5743" w:type="dxa"/>
            <w:tcMar>
              <w:top w:w="90" w:type="dxa"/>
              <w:left w:w="130" w:type="dxa"/>
              <w:bottom w:w="90" w:type="dxa"/>
              <w:right w:w="130" w:type="dxa"/>
            </w:tcMar>
            <w:vAlign w:val="center"/>
          </w:tcPr>
          <w:p w14:paraId="4F82A354">
            <w:pPr>
              <w:spacing w:line="320" w:lineRule="exact"/>
              <w:jc w:val="left"/>
            </w:pPr>
            <w:r>
              <w:rPr>
                <w:rFonts w:eastAsia="方正仿宋_GBK"/>
                <w:sz w:val="19"/>
              </w:rPr>
              <w:t>实现CMDB资产库与实时监控系统的无缝互通：在CMDB资产详情页可一键穿透调阅该设备的实时性能曲线与实时告警列表；在监控告警与工单界面可一键下钻查看该设备在CMDB中的配置基线、上下游关联拓扑及设备“电子病历”。</w:t>
            </w:r>
          </w:p>
        </w:tc>
      </w:tr>
    </w:tbl>
    <w:p w14:paraId="3A539807">
      <w:pPr>
        <w:spacing w:before="40" w:after="80"/>
      </w:pPr>
    </w:p>
    <w:p w14:paraId="33FC1EC2">
      <w:pPr>
        <w:spacing w:before="20" w:after="40" w:line="380" w:lineRule="exact"/>
        <w:ind w:firstLine="480" w:firstLineChars="200"/>
        <w:rPr>
          <w:rFonts w:eastAsia="方正仿宋_GBK"/>
          <w:sz w:val="24"/>
        </w:rPr>
      </w:pPr>
      <w:r>
        <w:rPr>
          <w:rFonts w:eastAsia="方正仿宋_GBK"/>
          <w:sz w:val="24"/>
        </w:rPr>
        <w:t>3.8 院内系统定制对接与接口开发</w:t>
      </w:r>
    </w:p>
    <w:p w14:paraId="6A34C6A0">
      <w:pPr>
        <w:spacing w:before="20" w:after="40" w:line="380" w:lineRule="exact"/>
        <w:ind w:firstLine="480" w:firstLineChars="200"/>
        <w:rPr>
          <w:rFonts w:eastAsia="方正仿宋_GBK"/>
          <w:sz w:val="24"/>
        </w:rPr>
      </w:pPr>
      <w:r>
        <w:rPr>
          <w:rFonts w:eastAsia="方正仿宋_GBK"/>
          <w:sz w:val="24"/>
        </w:rPr>
        <w:t>为消除系统孤岛，中标人须承担与采购人现有信息化系统的接口开发与系统集成工作，包含但不限于以下接口模块：</w:t>
      </w:r>
    </w:p>
    <w:p w14:paraId="05B4D347">
      <w:pPr>
        <w:spacing w:before="20" w:after="40" w:line="380" w:lineRule="exact"/>
        <w:ind w:firstLine="480" w:firstLineChars="200"/>
        <w:rPr>
          <w:rFonts w:eastAsia="方正仿宋_GBK"/>
          <w:sz w:val="24"/>
        </w:rPr>
      </w:pPr>
      <w:r>
        <w:rPr>
          <w:rFonts w:hint="eastAsia" w:eastAsia="方正仿宋_GBK"/>
          <w:sz w:val="24"/>
        </w:rPr>
        <w:t>3.8.1</w:t>
      </w:r>
      <w:r>
        <w:rPr>
          <w:rFonts w:eastAsia="方正仿宋_GBK"/>
          <w:sz w:val="24"/>
        </w:rPr>
        <w:t>医院OA办公系统待办对接：通过标准Web Service或RESTful API与医院现有协同办公系统（OA）打通，实现工单待办任务实时推送到个人OA待办栏目，支持从OA直接单点跳转至平台工单处置界面，处理完成后自动回传状态消除OA待办。</w:t>
      </w:r>
    </w:p>
    <w:p w14:paraId="0519F488">
      <w:pPr>
        <w:spacing w:before="20" w:after="40" w:line="380" w:lineRule="exact"/>
        <w:ind w:firstLine="480" w:firstLineChars="200"/>
        <w:rPr>
          <w:rFonts w:eastAsia="方正仿宋_GBK"/>
          <w:sz w:val="24"/>
        </w:rPr>
      </w:pPr>
      <w:r>
        <w:rPr>
          <w:rFonts w:hint="eastAsia" w:eastAsia="方正仿宋_GBK"/>
          <w:sz w:val="24"/>
        </w:rPr>
        <w:t>3.8.2</w:t>
      </w:r>
      <w:r>
        <w:rPr>
          <w:rFonts w:eastAsia="方正仿宋_GBK"/>
          <w:sz w:val="24"/>
        </w:rPr>
        <w:t>统一身份认证与用户同步对接：与医院统一身份认证平台（支持CAS、OAuth2、SAML2.0等单点登录协议）完成双向集成，实现统一登录与基于角色的单点登录（SSO）；支持从统一用户中心周期性同步医院组织架构、人员部门归属及联系方式。</w:t>
      </w:r>
    </w:p>
    <w:p w14:paraId="4FC6BF8D">
      <w:pPr>
        <w:spacing w:before="20" w:after="40" w:line="380" w:lineRule="exact"/>
        <w:ind w:firstLine="480" w:firstLineChars="200"/>
        <w:rPr>
          <w:rFonts w:eastAsia="方正仿宋_GBK"/>
          <w:sz w:val="24"/>
        </w:rPr>
      </w:pPr>
      <w:r>
        <w:rPr>
          <w:rFonts w:hint="eastAsia" w:eastAsia="方正仿宋_GBK"/>
          <w:sz w:val="24"/>
        </w:rPr>
        <w:t>3.8.3</w:t>
      </w:r>
      <w:r>
        <w:rPr>
          <w:rFonts w:eastAsia="方正仿宋_GBK"/>
          <w:sz w:val="24"/>
        </w:rPr>
        <w:t>企业微信/钉钉移动办公平台对接：完成企业微信、阿里钉钉应用对接，开发微应用工作台入口，实现告警消息即时推送、移动端扫码报修微应用及工单移动端审批处置。</w:t>
      </w:r>
    </w:p>
    <w:p w14:paraId="16AF5C44">
      <w:pPr>
        <w:spacing w:before="20" w:after="40" w:line="380" w:lineRule="exact"/>
        <w:ind w:firstLine="480" w:firstLineChars="200"/>
        <w:rPr>
          <w:rFonts w:eastAsia="方正仿宋_GBK"/>
          <w:sz w:val="24"/>
        </w:rPr>
      </w:pPr>
      <w:r>
        <w:rPr>
          <w:rFonts w:hint="eastAsia" w:eastAsia="方正仿宋_GBK"/>
          <w:sz w:val="24"/>
        </w:rPr>
        <w:t>3.8.4</w:t>
      </w:r>
      <w:r>
        <w:rPr>
          <w:rFonts w:eastAsia="方正仿宋_GBK"/>
          <w:sz w:val="24"/>
        </w:rPr>
        <w:t>医院短信平台网关对接：无缝对接医院内网短信网关，支持自定义短信模板、短信签名，具备发送状态回执校验与失败自动重发机制。</w:t>
      </w:r>
    </w:p>
    <w:p w14:paraId="60736096">
      <w:pPr>
        <w:spacing w:before="20" w:after="40" w:line="380" w:lineRule="exact"/>
        <w:ind w:firstLine="480" w:firstLineChars="200"/>
        <w:rPr>
          <w:rFonts w:eastAsia="方正仿宋_GBK"/>
          <w:sz w:val="24"/>
        </w:rPr>
      </w:pPr>
      <w:r>
        <w:rPr>
          <w:rFonts w:hint="eastAsia" w:eastAsia="方正仿宋_GBK"/>
          <w:sz w:val="24"/>
        </w:rPr>
        <w:t>3.8.5</w:t>
      </w:r>
      <w:r>
        <w:rPr>
          <w:rFonts w:eastAsia="方正仿宋_GBK"/>
          <w:sz w:val="24"/>
        </w:rPr>
        <w:t>机房动环监控系统深度对接：通过Modbus/TCP、Modbus/RTU通信协议或厂商专用SDK接口，与中心机房动力环境监控系统深度打通，实现配电、UPS、精密空调、温湿度、漏水等环境遥测、遥信数据的稳定实时接入与告警同步联动。</w:t>
      </w:r>
    </w:p>
    <w:p w14:paraId="454D4A0F">
      <w:pPr>
        <w:spacing w:before="20" w:after="40" w:line="380" w:lineRule="exact"/>
        <w:ind w:firstLine="480" w:firstLineChars="200"/>
        <w:rPr>
          <w:rFonts w:eastAsia="方正仿宋_GBK"/>
          <w:sz w:val="24"/>
        </w:rPr>
      </w:pPr>
      <w:r>
        <w:rPr>
          <w:rFonts w:hint="eastAsia" w:eastAsia="方正仿宋_GBK"/>
          <w:sz w:val="24"/>
        </w:rPr>
        <w:t>3.8.6</w:t>
      </w:r>
      <w:r>
        <w:rPr>
          <w:rFonts w:eastAsia="方正仿宋_GBK"/>
          <w:sz w:val="24"/>
        </w:rPr>
        <w:t>监控大屏与外部开放API接口：根据新院区运维指挥中心大屏硬件规格进行显示比例定制优化，支持大屏交互式投放与自动轮巡；提供面向医院运营中心（BI）的标准化数据开放API，便于后续全院数据资产融合分析。</w:t>
      </w:r>
    </w:p>
    <w:p w14:paraId="411F0D0C">
      <w:pPr>
        <w:spacing w:before="20" w:after="40" w:line="380" w:lineRule="exact"/>
        <w:ind w:firstLine="480" w:firstLineChars="200"/>
        <w:rPr>
          <w:rFonts w:eastAsia="方正仿宋_GBK"/>
          <w:sz w:val="24"/>
        </w:rPr>
      </w:pPr>
      <w:r>
        <w:rPr>
          <w:rFonts w:hint="eastAsia" w:eastAsia="方正仿宋_GBK"/>
          <w:sz w:val="24"/>
        </w:rPr>
        <w:t>3.9</w:t>
      </w:r>
      <w:r>
        <w:rPr>
          <w:rFonts w:eastAsia="方正仿宋_GBK"/>
          <w:sz w:val="24"/>
        </w:rPr>
        <w:t>医工结合与科研成果转化共创要求</w:t>
      </w:r>
    </w:p>
    <w:p w14:paraId="5F4458E7">
      <w:pPr>
        <w:spacing w:before="20" w:after="40" w:line="380" w:lineRule="exact"/>
        <w:ind w:firstLine="480" w:firstLineChars="200"/>
        <w:rPr>
          <w:rFonts w:eastAsia="方正仿宋_GBK"/>
          <w:sz w:val="24"/>
        </w:rPr>
      </w:pPr>
      <w:r>
        <w:rPr>
          <w:rFonts w:eastAsia="方正仿宋_GBK"/>
          <w:sz w:val="24"/>
        </w:rPr>
        <w:t>结合公立医院高质量发展与智慧运维创新需求，本项目设立专门的“医工结合与科研成果转化协同”考核要求，中标人须与医院深度合作，形成实质性科研攻关与知识产权成果。</w:t>
      </w:r>
    </w:p>
    <w:p w14:paraId="5C138410">
      <w:pPr>
        <w:spacing w:before="20" w:after="40" w:line="380" w:lineRule="exact"/>
        <w:ind w:firstLine="480" w:firstLineChars="200"/>
        <w:rPr>
          <w:rFonts w:eastAsia="方正仿宋_GBK"/>
          <w:sz w:val="24"/>
        </w:rPr>
      </w:pPr>
      <w:r>
        <w:rPr>
          <w:rFonts w:hint="eastAsia" w:eastAsia="方正仿宋_GBK"/>
          <w:sz w:val="24"/>
        </w:rPr>
        <w:t>3.9.1</w:t>
      </w:r>
      <w:r>
        <w:rPr>
          <w:rFonts w:eastAsia="方正仿宋_GBK"/>
          <w:sz w:val="24"/>
        </w:rPr>
        <w:t>医企联合共创机制：中标人须依托本项目的实施落地，与医院信息中心成立医企联合研发工作组，围绕医院智慧运维、医疗IT设备AIOps智能告警算法、医用设备“电子病历”健康度衰退等开展深度科研技术攻关。</w:t>
      </w:r>
    </w:p>
    <w:p w14:paraId="73BE3419">
      <w:pPr>
        <w:spacing w:before="20" w:after="40" w:line="380" w:lineRule="exact"/>
        <w:ind w:firstLine="480" w:firstLineChars="200"/>
        <w:rPr>
          <w:rFonts w:eastAsia="方正仿宋_GBK"/>
          <w:sz w:val="24"/>
        </w:rPr>
      </w:pPr>
      <w:r>
        <w:rPr>
          <w:rFonts w:hint="eastAsia" w:eastAsia="方正仿宋_GBK"/>
          <w:sz w:val="24"/>
        </w:rPr>
        <w:t>3.9.2</w:t>
      </w:r>
      <w:r>
        <w:rPr>
          <w:rFonts w:eastAsia="方正仿宋_GBK"/>
          <w:sz w:val="24"/>
        </w:rPr>
        <w:t>软著与专利联合申报：中标人在项目合同执行期及质保期内，必须协助并联合采购人申报与本项目相关的计算机软件著作权登记证书或发明专利，明确将采购人列为第一著作权人/第一完成单位或联合权利人，全面保障医院知识产权权益。</w:t>
      </w:r>
    </w:p>
    <w:p w14:paraId="62E19E90">
      <w:pPr>
        <w:spacing w:before="20" w:after="40" w:line="380" w:lineRule="exact"/>
        <w:ind w:firstLine="480" w:firstLineChars="200"/>
        <w:rPr>
          <w:rFonts w:eastAsia="方正仿宋_GBK"/>
          <w:sz w:val="24"/>
        </w:rPr>
      </w:pPr>
      <w:r>
        <w:rPr>
          <w:rFonts w:hint="eastAsia" w:eastAsia="方正仿宋_GBK"/>
          <w:sz w:val="24"/>
        </w:rPr>
        <w:t>3.9.3</w:t>
      </w:r>
      <w:r>
        <w:rPr>
          <w:rFonts w:eastAsia="方正仿宋_GBK"/>
          <w:sz w:val="24"/>
        </w:rPr>
        <w:t>行业课题与标准共建：中标人须积极配合采购人，依托本项目在医疗运维领域的创新实践，联合参与国家、省部级医疗卫生信息化科研课题申报，或联合参与国家/行业学会关于智慧医院运维标准的规划与编制工作。</w:t>
      </w:r>
    </w:p>
    <w:p w14:paraId="048CE158">
      <w:pPr>
        <w:spacing w:before="40" w:after="60" w:line="400" w:lineRule="exact"/>
        <w:ind w:firstLine="480"/>
        <w:rPr>
          <w:rFonts w:eastAsia="方正仿宋_GBK"/>
          <w:b/>
          <w:bCs/>
          <w:sz w:val="24"/>
        </w:rPr>
      </w:pPr>
      <w:r>
        <w:rPr>
          <w:rFonts w:hint="eastAsia" w:eastAsia="方正仿宋_GBK"/>
          <w:b/>
          <w:bCs/>
          <w:sz w:val="24"/>
        </w:rPr>
        <w:t>4.系统性能与安全非功能要求</w:t>
      </w:r>
    </w:p>
    <w:p w14:paraId="2BAD9714">
      <w:pPr>
        <w:spacing w:before="40" w:after="60" w:line="400" w:lineRule="exact"/>
        <w:ind w:firstLine="480"/>
      </w:pPr>
      <w:r>
        <w:rPr>
          <w:rFonts w:hint="eastAsia" w:eastAsia="方正仿宋_GBK"/>
          <w:sz w:val="24"/>
        </w:rPr>
        <w:t>4.1</w:t>
      </w:r>
      <w:r>
        <w:rPr>
          <w:rFonts w:eastAsia="方正仿宋_GBK"/>
          <w:sz w:val="24"/>
        </w:rPr>
        <w:t>平台在系统性能、并发承载、数据吞吐及响应时效方面必须满足以下量化技术指标要求：</w:t>
      </w:r>
    </w:p>
    <w:tbl>
      <w:tblPr>
        <w:tblStyle w:val="57"/>
        <w:tblW w:w="9689" w:type="dxa"/>
        <w:jc w:val="center"/>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Layout w:type="autofit"/>
        <w:tblCellMar>
          <w:top w:w="0" w:type="dxa"/>
          <w:left w:w="108" w:type="dxa"/>
          <w:bottom w:w="0" w:type="dxa"/>
          <w:right w:w="108" w:type="dxa"/>
        </w:tblCellMar>
      </w:tblPr>
      <w:tblGrid>
        <w:gridCol w:w="1868"/>
        <w:gridCol w:w="3957"/>
        <w:gridCol w:w="3864"/>
      </w:tblGrid>
      <w:tr w14:paraId="5F5900A4">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tblHeader/>
          <w:jc w:val="center"/>
        </w:trPr>
        <w:tc>
          <w:tcPr>
            <w:tcW w:w="1868" w:type="dxa"/>
            <w:shd w:val="clear" w:color="auto" w:fill="EBF1F8"/>
            <w:tcMar>
              <w:top w:w="120" w:type="dxa"/>
              <w:left w:w="140" w:type="dxa"/>
              <w:bottom w:w="120" w:type="dxa"/>
              <w:right w:w="140" w:type="dxa"/>
            </w:tcMar>
            <w:vAlign w:val="center"/>
          </w:tcPr>
          <w:p w14:paraId="3D89B741">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类别</w:t>
            </w:r>
          </w:p>
        </w:tc>
        <w:tc>
          <w:tcPr>
            <w:tcW w:w="3957" w:type="dxa"/>
            <w:shd w:val="clear" w:color="auto" w:fill="EBF1F8"/>
            <w:tcMar>
              <w:top w:w="120" w:type="dxa"/>
              <w:left w:w="140" w:type="dxa"/>
              <w:bottom w:w="120" w:type="dxa"/>
              <w:right w:w="140" w:type="dxa"/>
            </w:tcMar>
            <w:vAlign w:val="center"/>
          </w:tcPr>
          <w:p w14:paraId="6747FC0C">
            <w:pPr>
              <w:spacing w:line="300" w:lineRule="exact"/>
              <w:jc w:val="center"/>
              <w:rPr>
                <w:rFonts w:hint="eastAsia" w:ascii="方正仿宋_GBK" w:hAnsi="方正仿宋_GBK" w:eastAsia="方正仿宋_GBK" w:cs="方正仿宋_GBK"/>
                <w:b/>
                <w:sz w:val="21"/>
              </w:rPr>
            </w:pPr>
            <w:r>
              <w:rPr>
                <w:rFonts w:hint="eastAsia" w:ascii="方正仿宋_GBK" w:hAnsi="方正仿宋_GBK" w:eastAsia="方正仿宋_GBK" w:cs="方正仿宋_GBK"/>
                <w:b/>
                <w:sz w:val="21"/>
              </w:rPr>
              <w:t>指标要求说明</w:t>
            </w:r>
          </w:p>
        </w:tc>
        <w:tc>
          <w:tcPr>
            <w:tcW w:w="3864" w:type="dxa"/>
            <w:shd w:val="clear" w:color="auto" w:fill="EBF1F8"/>
            <w:tcMar>
              <w:top w:w="120" w:type="dxa"/>
              <w:left w:w="140" w:type="dxa"/>
              <w:bottom w:w="120" w:type="dxa"/>
              <w:right w:w="140" w:type="dxa"/>
            </w:tcMar>
            <w:vAlign w:val="center"/>
          </w:tcPr>
          <w:p w14:paraId="4F9D447B">
            <w:pPr>
              <w:spacing w:line="300" w:lineRule="exact"/>
              <w:jc w:val="center"/>
            </w:pPr>
            <w:r>
              <w:rPr>
                <w:rFonts w:hint="eastAsia" w:ascii="方正仿宋_GBK" w:hAnsi="方正仿宋_GBK" w:eastAsia="方正仿宋_GBK" w:cs="方正仿宋_GBK"/>
                <w:b/>
                <w:sz w:val="21"/>
              </w:rPr>
              <w:t>考核量化标准与测试方法</w:t>
            </w:r>
          </w:p>
        </w:tc>
      </w:tr>
      <w:tr w14:paraId="15E2A765">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868" w:type="dxa"/>
            <w:tcMar>
              <w:top w:w="90" w:type="dxa"/>
              <w:left w:w="130" w:type="dxa"/>
              <w:bottom w:w="90" w:type="dxa"/>
              <w:right w:w="130" w:type="dxa"/>
            </w:tcMar>
            <w:vAlign w:val="center"/>
          </w:tcPr>
          <w:p w14:paraId="747A8B3C">
            <w:pPr>
              <w:spacing w:line="320" w:lineRule="exact"/>
              <w:jc w:val="center"/>
            </w:pPr>
            <w:r>
              <w:rPr>
                <w:rFonts w:eastAsia="方正仿宋_GBK"/>
                <w:sz w:val="19"/>
              </w:rPr>
              <w:t>指标采集频率</w:t>
            </w:r>
          </w:p>
        </w:tc>
        <w:tc>
          <w:tcPr>
            <w:tcW w:w="3957" w:type="dxa"/>
            <w:tcMar>
              <w:top w:w="90" w:type="dxa"/>
              <w:left w:w="130" w:type="dxa"/>
              <w:bottom w:w="90" w:type="dxa"/>
              <w:right w:w="130" w:type="dxa"/>
            </w:tcMar>
            <w:vAlign w:val="center"/>
          </w:tcPr>
          <w:p w14:paraId="1C3C8013">
            <w:pPr>
              <w:spacing w:line="320" w:lineRule="exact"/>
              <w:jc w:val="left"/>
            </w:pPr>
            <w:r>
              <w:rPr>
                <w:rFonts w:eastAsia="方正仿宋_GBK"/>
                <w:sz w:val="19"/>
              </w:rPr>
              <w:t>系统支持按监控对象及指标维度自定义设置采集时间周期</w:t>
            </w:r>
          </w:p>
        </w:tc>
        <w:tc>
          <w:tcPr>
            <w:tcW w:w="3864" w:type="dxa"/>
            <w:tcMar>
              <w:top w:w="90" w:type="dxa"/>
              <w:left w:w="130" w:type="dxa"/>
              <w:bottom w:w="90" w:type="dxa"/>
              <w:right w:w="130" w:type="dxa"/>
            </w:tcMar>
            <w:vAlign w:val="center"/>
          </w:tcPr>
          <w:p w14:paraId="580A155E">
            <w:pPr>
              <w:spacing w:line="320" w:lineRule="exact"/>
              <w:jc w:val="left"/>
            </w:pPr>
            <w:r>
              <w:rPr>
                <w:rFonts w:eastAsia="方正仿宋_GBK"/>
                <w:sz w:val="19"/>
              </w:rPr>
              <w:t>支持10秒、30秒、1分钟、5分钟可配，常规默认1~5分钟。通过后台配置与探针采集日志核查。</w:t>
            </w:r>
          </w:p>
        </w:tc>
      </w:tr>
      <w:tr w14:paraId="3A9E0394">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868" w:type="dxa"/>
            <w:shd w:val="clear" w:color="auto" w:fill="F9FBFC"/>
            <w:tcMar>
              <w:top w:w="90" w:type="dxa"/>
              <w:left w:w="130" w:type="dxa"/>
              <w:bottom w:w="90" w:type="dxa"/>
              <w:right w:w="130" w:type="dxa"/>
            </w:tcMar>
            <w:vAlign w:val="center"/>
          </w:tcPr>
          <w:p w14:paraId="333C84EA">
            <w:pPr>
              <w:spacing w:line="320" w:lineRule="exact"/>
              <w:jc w:val="center"/>
            </w:pPr>
            <w:r>
              <w:rPr>
                <w:rFonts w:eastAsia="方正仿宋_GBK"/>
                <w:sz w:val="19"/>
              </w:rPr>
              <w:t>告警产生与分发时延</w:t>
            </w:r>
          </w:p>
        </w:tc>
        <w:tc>
          <w:tcPr>
            <w:tcW w:w="3957" w:type="dxa"/>
            <w:shd w:val="clear" w:color="auto" w:fill="F9FBFC"/>
            <w:tcMar>
              <w:top w:w="90" w:type="dxa"/>
              <w:left w:w="130" w:type="dxa"/>
              <w:bottom w:w="90" w:type="dxa"/>
              <w:right w:w="130" w:type="dxa"/>
            </w:tcMar>
            <w:vAlign w:val="center"/>
          </w:tcPr>
          <w:p w14:paraId="33C3D9D4">
            <w:pPr>
              <w:spacing w:line="320" w:lineRule="exact"/>
              <w:jc w:val="left"/>
            </w:pPr>
            <w:r>
              <w:rPr>
                <w:rFonts w:eastAsia="方正仿宋_GBK"/>
                <w:sz w:val="19"/>
              </w:rPr>
              <w:t>从底层设备指标越限发生到平台完成收敛分析并发出告警通知的时间差</w:t>
            </w:r>
          </w:p>
        </w:tc>
        <w:tc>
          <w:tcPr>
            <w:tcW w:w="3864" w:type="dxa"/>
            <w:shd w:val="clear" w:color="auto" w:fill="F9FBFC"/>
            <w:tcMar>
              <w:top w:w="90" w:type="dxa"/>
              <w:left w:w="130" w:type="dxa"/>
              <w:bottom w:w="90" w:type="dxa"/>
              <w:right w:w="130" w:type="dxa"/>
            </w:tcMar>
            <w:vAlign w:val="center"/>
          </w:tcPr>
          <w:p w14:paraId="7B88652A">
            <w:pPr>
              <w:spacing w:line="320" w:lineRule="exact"/>
              <w:jc w:val="left"/>
            </w:pPr>
            <w:r>
              <w:rPr>
                <w:rFonts w:eastAsia="方正仿宋_GBK"/>
                <w:sz w:val="19"/>
              </w:rPr>
              <w:t>全流程告警处理时延 ≤ 1分钟。测试方法：模拟触发SNMP Trap或指标超标，比对设备告警产生时间与平台分发时间差。</w:t>
            </w:r>
          </w:p>
        </w:tc>
      </w:tr>
      <w:tr w14:paraId="61EB717E">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868" w:type="dxa"/>
            <w:tcMar>
              <w:top w:w="90" w:type="dxa"/>
              <w:left w:w="130" w:type="dxa"/>
              <w:bottom w:w="90" w:type="dxa"/>
              <w:right w:w="130" w:type="dxa"/>
            </w:tcMar>
            <w:vAlign w:val="center"/>
          </w:tcPr>
          <w:p w14:paraId="5AFC2067">
            <w:pPr>
              <w:spacing w:line="320" w:lineRule="exact"/>
              <w:jc w:val="center"/>
            </w:pPr>
            <w:r>
              <w:rPr>
                <w:rFonts w:eastAsia="方正仿宋_GBK"/>
                <w:sz w:val="19"/>
              </w:rPr>
              <w:t>界面响应时效</w:t>
            </w:r>
          </w:p>
        </w:tc>
        <w:tc>
          <w:tcPr>
            <w:tcW w:w="3957" w:type="dxa"/>
            <w:tcMar>
              <w:top w:w="90" w:type="dxa"/>
              <w:left w:w="130" w:type="dxa"/>
              <w:bottom w:w="90" w:type="dxa"/>
              <w:right w:w="130" w:type="dxa"/>
            </w:tcMar>
            <w:vAlign w:val="center"/>
          </w:tcPr>
          <w:p w14:paraId="1573EEE1">
            <w:pPr>
              <w:spacing w:line="320" w:lineRule="exact"/>
              <w:jc w:val="left"/>
            </w:pPr>
            <w:r>
              <w:rPr>
                <w:rFonts w:eastAsia="方正仿宋_GBK"/>
                <w:sz w:val="19"/>
              </w:rPr>
              <w:t>常规业务页面加载与交互响应时间（95%分位）</w:t>
            </w:r>
          </w:p>
        </w:tc>
        <w:tc>
          <w:tcPr>
            <w:tcW w:w="3864" w:type="dxa"/>
            <w:tcMar>
              <w:top w:w="90" w:type="dxa"/>
              <w:left w:w="130" w:type="dxa"/>
              <w:bottom w:w="90" w:type="dxa"/>
              <w:right w:w="130" w:type="dxa"/>
            </w:tcMar>
            <w:vAlign w:val="center"/>
          </w:tcPr>
          <w:p w14:paraId="1B9FF0F4">
            <w:pPr>
              <w:spacing w:line="320" w:lineRule="exact"/>
              <w:jc w:val="left"/>
            </w:pPr>
            <w:r>
              <w:rPr>
                <w:rFonts w:eastAsia="方正仿宋_GBK"/>
                <w:sz w:val="19"/>
              </w:rPr>
              <w:t>在200并发用户负载测试场景下：日常管理页面加载时延 ≤ 1.5秒，复杂报表与拓扑渲染 ≤ 3秒。</w:t>
            </w:r>
          </w:p>
        </w:tc>
      </w:tr>
      <w:tr w14:paraId="4808BB46">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868" w:type="dxa"/>
            <w:shd w:val="clear" w:color="auto" w:fill="F9FBFC"/>
            <w:tcMar>
              <w:top w:w="90" w:type="dxa"/>
              <w:left w:w="130" w:type="dxa"/>
              <w:bottom w:w="90" w:type="dxa"/>
              <w:right w:w="130" w:type="dxa"/>
            </w:tcMar>
            <w:vAlign w:val="center"/>
          </w:tcPr>
          <w:p w14:paraId="206DD919">
            <w:pPr>
              <w:spacing w:line="320" w:lineRule="exact"/>
              <w:jc w:val="center"/>
            </w:pPr>
            <w:r>
              <w:rPr>
                <w:rFonts w:eastAsia="方正仿宋_GBK"/>
                <w:sz w:val="19"/>
              </w:rPr>
              <w:t>实时并发能力</w:t>
            </w:r>
          </w:p>
        </w:tc>
        <w:tc>
          <w:tcPr>
            <w:tcW w:w="3957" w:type="dxa"/>
            <w:shd w:val="clear" w:color="auto" w:fill="F9FBFC"/>
            <w:tcMar>
              <w:top w:w="90" w:type="dxa"/>
              <w:left w:w="130" w:type="dxa"/>
              <w:bottom w:w="90" w:type="dxa"/>
              <w:right w:w="130" w:type="dxa"/>
            </w:tcMar>
            <w:vAlign w:val="center"/>
          </w:tcPr>
          <w:p w14:paraId="312E6442">
            <w:pPr>
              <w:spacing w:line="320" w:lineRule="exact"/>
              <w:jc w:val="left"/>
            </w:pPr>
            <w:r>
              <w:rPr>
                <w:rFonts w:eastAsia="方正仿宋_GBK"/>
                <w:sz w:val="19"/>
              </w:rPr>
              <w:t>平台满足医院信息科、运维团队及各科室用户的日常并发访问要求</w:t>
            </w:r>
          </w:p>
        </w:tc>
        <w:tc>
          <w:tcPr>
            <w:tcW w:w="3864" w:type="dxa"/>
            <w:shd w:val="clear" w:color="auto" w:fill="F9FBFC"/>
            <w:tcMar>
              <w:top w:w="90" w:type="dxa"/>
              <w:left w:w="130" w:type="dxa"/>
              <w:bottom w:w="90" w:type="dxa"/>
              <w:right w:w="130" w:type="dxa"/>
            </w:tcMar>
            <w:vAlign w:val="center"/>
          </w:tcPr>
          <w:p w14:paraId="5BC8F916">
            <w:pPr>
              <w:spacing w:line="320" w:lineRule="exact"/>
              <w:jc w:val="left"/>
            </w:pPr>
            <w:r>
              <w:rPr>
                <w:rFonts w:eastAsia="方正仿宋_GBK"/>
                <w:sz w:val="19"/>
              </w:rPr>
              <w:t>支持≥200并发用户同时在线执行页面查询、工单操作，系统无报错、无服务进程崩溃。</w:t>
            </w:r>
          </w:p>
        </w:tc>
      </w:tr>
      <w:tr w14:paraId="58D2B071">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868" w:type="dxa"/>
            <w:tcMar>
              <w:top w:w="90" w:type="dxa"/>
              <w:left w:w="130" w:type="dxa"/>
              <w:bottom w:w="90" w:type="dxa"/>
              <w:right w:w="130" w:type="dxa"/>
            </w:tcMar>
            <w:vAlign w:val="center"/>
          </w:tcPr>
          <w:p w14:paraId="1205570E">
            <w:pPr>
              <w:spacing w:line="320" w:lineRule="exact"/>
              <w:jc w:val="center"/>
            </w:pPr>
            <w:r>
              <w:rPr>
                <w:rFonts w:eastAsia="方正仿宋_GBK"/>
                <w:sz w:val="19"/>
              </w:rPr>
              <w:t>数据纳管规模</w:t>
            </w:r>
          </w:p>
        </w:tc>
        <w:tc>
          <w:tcPr>
            <w:tcW w:w="3957" w:type="dxa"/>
            <w:tcMar>
              <w:top w:w="90" w:type="dxa"/>
              <w:left w:w="130" w:type="dxa"/>
              <w:bottom w:w="90" w:type="dxa"/>
              <w:right w:w="130" w:type="dxa"/>
            </w:tcMar>
            <w:vAlign w:val="center"/>
          </w:tcPr>
          <w:p w14:paraId="71E979C4">
            <w:pPr>
              <w:spacing w:line="320" w:lineRule="exact"/>
              <w:jc w:val="left"/>
            </w:pPr>
            <w:r>
              <w:rPr>
                <w:rFonts w:eastAsia="方正仿宋_GBK"/>
                <w:sz w:val="19"/>
              </w:rPr>
              <w:t>系统容量设计满足新院区及老院区全量设备纳管，并支持横向平滑扩容</w:t>
            </w:r>
          </w:p>
        </w:tc>
        <w:tc>
          <w:tcPr>
            <w:tcW w:w="3864" w:type="dxa"/>
            <w:tcMar>
              <w:top w:w="90" w:type="dxa"/>
              <w:left w:w="130" w:type="dxa"/>
              <w:bottom w:w="90" w:type="dxa"/>
              <w:right w:w="130" w:type="dxa"/>
            </w:tcMar>
            <w:vAlign w:val="center"/>
          </w:tcPr>
          <w:p w14:paraId="24F1518F">
            <w:pPr>
              <w:spacing w:line="320" w:lineRule="exact"/>
              <w:jc w:val="left"/>
            </w:pPr>
            <w:r>
              <w:rPr>
                <w:rFonts w:eastAsia="方正仿宋_GBK"/>
                <w:sz w:val="19"/>
              </w:rPr>
              <w:t>单套系统满足纳管≥10,000个节点或100,000个指标项，时序数据库写入无积压。</w:t>
            </w:r>
          </w:p>
        </w:tc>
      </w:tr>
      <w:tr w14:paraId="58E6625C">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868" w:type="dxa"/>
            <w:shd w:val="clear" w:color="auto" w:fill="F9FBFC"/>
            <w:tcMar>
              <w:top w:w="90" w:type="dxa"/>
              <w:left w:w="130" w:type="dxa"/>
              <w:bottom w:w="90" w:type="dxa"/>
              <w:right w:w="130" w:type="dxa"/>
            </w:tcMar>
            <w:vAlign w:val="center"/>
          </w:tcPr>
          <w:p w14:paraId="25C7C28F">
            <w:pPr>
              <w:spacing w:line="320" w:lineRule="exact"/>
              <w:jc w:val="center"/>
            </w:pPr>
            <w:r>
              <w:rPr>
                <w:rFonts w:eastAsia="方正仿宋_GBK"/>
                <w:sz w:val="19"/>
              </w:rPr>
              <w:t>容量扩展冗余</w:t>
            </w:r>
          </w:p>
        </w:tc>
        <w:tc>
          <w:tcPr>
            <w:tcW w:w="3957" w:type="dxa"/>
            <w:shd w:val="clear" w:color="auto" w:fill="F9FBFC"/>
            <w:tcMar>
              <w:top w:w="90" w:type="dxa"/>
              <w:left w:w="130" w:type="dxa"/>
              <w:bottom w:w="90" w:type="dxa"/>
              <w:right w:w="130" w:type="dxa"/>
            </w:tcMar>
            <w:vAlign w:val="center"/>
          </w:tcPr>
          <w:p w14:paraId="7B7FA3D0">
            <w:pPr>
              <w:spacing w:line="320" w:lineRule="exact"/>
              <w:jc w:val="left"/>
            </w:pPr>
            <w:r>
              <w:rPr>
                <w:rFonts w:eastAsia="方正仿宋_GBK"/>
                <w:sz w:val="19"/>
              </w:rPr>
              <w:t>软硬件性能、存储读写吞吐及网络带宽容量的设计余量</w:t>
            </w:r>
          </w:p>
        </w:tc>
        <w:tc>
          <w:tcPr>
            <w:tcW w:w="3864" w:type="dxa"/>
            <w:shd w:val="clear" w:color="auto" w:fill="F9FBFC"/>
            <w:tcMar>
              <w:top w:w="90" w:type="dxa"/>
              <w:left w:w="130" w:type="dxa"/>
              <w:bottom w:w="90" w:type="dxa"/>
              <w:right w:w="130" w:type="dxa"/>
            </w:tcMar>
            <w:vAlign w:val="center"/>
          </w:tcPr>
          <w:p w14:paraId="6ABC67C8">
            <w:pPr>
              <w:spacing w:line="320" w:lineRule="exact"/>
              <w:jc w:val="left"/>
            </w:pPr>
            <w:r>
              <w:rPr>
                <w:rFonts w:eastAsia="方正仿宋_GBK"/>
                <w:sz w:val="19"/>
              </w:rPr>
              <w:t>预留不少于 30% 的系统容量与性能扩展冗余，支撑未来3-5年资产扩张。</w:t>
            </w:r>
          </w:p>
        </w:tc>
      </w:tr>
      <w:tr w14:paraId="6B8885ED">
        <w:tblPrEx>
          <w:tblBorders>
            <w:top w:val="single" w:color="A0B2C6" w:sz="4" w:space="0"/>
            <w:left w:val="single" w:color="A0B2C6" w:sz="4" w:space="0"/>
            <w:bottom w:val="single" w:color="A0B2C6" w:sz="4" w:space="0"/>
            <w:right w:val="single" w:color="A0B2C6" w:sz="4" w:space="0"/>
            <w:insideH w:val="single" w:color="A0B2C6" w:sz="4" w:space="0"/>
            <w:insideV w:val="single" w:color="A0B2C6" w:sz="4" w:space="0"/>
          </w:tblBorders>
          <w:tblCellMar>
            <w:top w:w="0" w:type="dxa"/>
            <w:left w:w="108" w:type="dxa"/>
            <w:bottom w:w="0" w:type="dxa"/>
            <w:right w:w="108" w:type="dxa"/>
          </w:tblCellMar>
        </w:tblPrEx>
        <w:trPr>
          <w:cantSplit/>
          <w:jc w:val="center"/>
        </w:trPr>
        <w:tc>
          <w:tcPr>
            <w:tcW w:w="1868" w:type="dxa"/>
            <w:tcMar>
              <w:top w:w="90" w:type="dxa"/>
              <w:left w:w="130" w:type="dxa"/>
              <w:bottom w:w="90" w:type="dxa"/>
              <w:right w:w="130" w:type="dxa"/>
            </w:tcMar>
            <w:vAlign w:val="center"/>
          </w:tcPr>
          <w:p w14:paraId="1958432F">
            <w:pPr>
              <w:spacing w:line="320" w:lineRule="exact"/>
              <w:jc w:val="center"/>
            </w:pPr>
            <w:r>
              <w:rPr>
                <w:rFonts w:eastAsia="方正仿宋_GBK"/>
                <w:sz w:val="19"/>
              </w:rPr>
              <w:t>系统年可用性</w:t>
            </w:r>
          </w:p>
        </w:tc>
        <w:tc>
          <w:tcPr>
            <w:tcW w:w="3957" w:type="dxa"/>
            <w:tcMar>
              <w:top w:w="90" w:type="dxa"/>
              <w:left w:w="130" w:type="dxa"/>
              <w:bottom w:w="90" w:type="dxa"/>
              <w:right w:w="130" w:type="dxa"/>
            </w:tcMar>
            <w:vAlign w:val="center"/>
          </w:tcPr>
          <w:p w14:paraId="6A161ACB">
            <w:pPr>
              <w:spacing w:line="320" w:lineRule="exact"/>
              <w:jc w:val="left"/>
            </w:pPr>
            <w:r>
              <w:rPr>
                <w:rFonts w:eastAsia="方正仿宋_GBK"/>
                <w:sz w:val="19"/>
              </w:rPr>
              <w:t>衡量平台整体运行稳定度的高可用考核指标</w:t>
            </w:r>
          </w:p>
        </w:tc>
        <w:tc>
          <w:tcPr>
            <w:tcW w:w="3864" w:type="dxa"/>
            <w:tcMar>
              <w:top w:w="90" w:type="dxa"/>
              <w:left w:w="130" w:type="dxa"/>
              <w:bottom w:w="90" w:type="dxa"/>
              <w:right w:w="130" w:type="dxa"/>
            </w:tcMar>
            <w:vAlign w:val="center"/>
          </w:tcPr>
          <w:p w14:paraId="6D0ECAD7">
            <w:pPr>
              <w:spacing w:line="320" w:lineRule="exact"/>
              <w:jc w:val="left"/>
            </w:pPr>
            <w:r>
              <w:rPr>
                <w:rFonts w:eastAsia="方正仿宋_GBK"/>
                <w:sz w:val="19"/>
              </w:rPr>
              <w:t>可用性指标达到≥99.9%。计算公式：系统可用性 = (总运行时间 - 非计划宕机时间) / 总运行时间 × 100%（扣除计划停机）。</w:t>
            </w:r>
          </w:p>
        </w:tc>
      </w:tr>
    </w:tbl>
    <w:p w14:paraId="1F256597">
      <w:pPr>
        <w:spacing w:before="20" w:after="40" w:line="380" w:lineRule="exact"/>
        <w:ind w:firstLine="480" w:firstLineChars="200"/>
        <w:rPr>
          <w:rFonts w:eastAsia="方正仿宋_GBK"/>
          <w:sz w:val="24"/>
        </w:rPr>
      </w:pPr>
      <w:r>
        <w:rPr>
          <w:rFonts w:hint="eastAsia" w:eastAsia="方正仿宋_GBK"/>
          <w:sz w:val="24"/>
        </w:rPr>
        <w:t>4.2</w:t>
      </w:r>
      <w:r>
        <w:rPr>
          <w:rFonts w:eastAsia="方正仿宋_GBK"/>
          <w:sz w:val="24"/>
        </w:rPr>
        <w:t>高可用容灾与安全合规规范：</w:t>
      </w:r>
    </w:p>
    <w:p w14:paraId="78B709D3">
      <w:pPr>
        <w:spacing w:before="20" w:after="40" w:line="380" w:lineRule="exact"/>
        <w:ind w:firstLine="480" w:firstLineChars="200"/>
        <w:rPr>
          <w:rFonts w:eastAsia="方正仿宋_GBK"/>
          <w:sz w:val="24"/>
        </w:rPr>
      </w:pPr>
      <w:r>
        <w:rPr>
          <w:rFonts w:hint="eastAsia" w:eastAsia="方正仿宋_GBK"/>
          <w:sz w:val="24"/>
        </w:rPr>
        <w:t>4.2.1</w:t>
      </w:r>
      <w:r>
        <w:rPr>
          <w:rFonts w:eastAsia="方正仿宋_GBK"/>
          <w:sz w:val="24"/>
        </w:rPr>
        <w:t>平台高可用与双机容灾：平台核心采集服务、告警服务及数据服务支持双机热备或多节点集群化负载均衡部署，系统整体年可用性必须达到≥99.9%（全年非计划宕机时间累计≤8.76小时）。测试验收方法：在试运行期间进行模拟单节点故障切换演练，备用节点须在30秒内自动接管，监控数据不中断丢失。</w:t>
      </w:r>
    </w:p>
    <w:p w14:paraId="2100D7CB">
      <w:pPr>
        <w:spacing w:before="20" w:after="40" w:line="380" w:lineRule="exact"/>
        <w:ind w:firstLine="480" w:firstLineChars="200"/>
        <w:rPr>
          <w:rFonts w:eastAsia="方正仿宋_GBK"/>
          <w:sz w:val="24"/>
        </w:rPr>
      </w:pPr>
      <w:r>
        <w:rPr>
          <w:rFonts w:hint="eastAsia" w:eastAsia="方正仿宋_GBK"/>
          <w:sz w:val="24"/>
        </w:rPr>
        <w:t>4.2.2</w:t>
      </w:r>
      <w:r>
        <w:rPr>
          <w:rFonts w:eastAsia="方正仿宋_GBK"/>
          <w:sz w:val="24"/>
        </w:rPr>
        <w:t>网络容错与断点续传：具备强大的网络容错与故障自愈能力，支持分布式采集探针本地磁盘缓存与断点续传机制；当网络出现短时闪断恢复后，探针自动将本地缓存数据补传至中心服务，补传成功率≥99.99%，确保监控时序数据连贯完整。</w:t>
      </w:r>
    </w:p>
    <w:p w14:paraId="38634F34">
      <w:pPr>
        <w:spacing w:before="20" w:after="40" w:line="380" w:lineRule="exact"/>
        <w:ind w:firstLine="480" w:firstLineChars="200"/>
        <w:rPr>
          <w:rFonts w:eastAsia="方正仿宋_GBK"/>
          <w:sz w:val="24"/>
        </w:rPr>
      </w:pPr>
      <w:r>
        <w:rPr>
          <w:rFonts w:hint="eastAsia" w:eastAsia="方正仿宋_GBK"/>
          <w:sz w:val="24"/>
        </w:rPr>
        <w:t>4.2.3</w:t>
      </w:r>
      <w:r>
        <w:rPr>
          <w:rFonts w:eastAsia="方正仿宋_GBK"/>
          <w:sz w:val="24"/>
        </w:rPr>
        <w:t>数据备份与容灾恢复：提供自动化数据备份策略，支持对配置元数据、工单历史及CMDB数据进行每日自动增量备份与每周全量冷备，数据备份支持跨机房异地容灾转储。</w:t>
      </w:r>
    </w:p>
    <w:p w14:paraId="54E24A2B">
      <w:pPr>
        <w:spacing w:before="20" w:after="40" w:line="380" w:lineRule="exact"/>
        <w:ind w:firstLine="480" w:firstLineChars="200"/>
        <w:rPr>
          <w:rFonts w:eastAsia="方正仿宋_GBK"/>
          <w:sz w:val="24"/>
        </w:rPr>
      </w:pPr>
      <w:r>
        <w:rPr>
          <w:rFonts w:hint="eastAsia" w:eastAsia="方正仿宋_GBK"/>
          <w:sz w:val="24"/>
        </w:rPr>
        <w:t>4.2.4</w:t>
      </w:r>
      <w:r>
        <w:rPr>
          <w:rFonts w:eastAsia="方正仿宋_GBK"/>
          <w:sz w:val="24"/>
        </w:rPr>
        <w:t>三权分立与RBAC权限模型：系统严格落实“三权分立”访问控制模型：分别设立系统管理员、安全管理员与安全审计员，三者权限相互独立制约。</w:t>
      </w:r>
    </w:p>
    <w:p w14:paraId="08442A04">
      <w:pPr>
        <w:spacing w:before="20" w:after="40" w:line="380" w:lineRule="exact"/>
        <w:ind w:firstLine="480" w:firstLineChars="200"/>
        <w:rPr>
          <w:rFonts w:eastAsia="方正仿宋_GBK"/>
          <w:sz w:val="24"/>
        </w:rPr>
      </w:pPr>
      <w:r>
        <w:rPr>
          <w:rFonts w:hint="eastAsia" w:eastAsia="方正仿宋_GBK"/>
          <w:sz w:val="24"/>
        </w:rPr>
        <w:t>4.2.5</w:t>
      </w:r>
      <w:r>
        <w:rPr>
          <w:rFonts w:eastAsia="方正仿宋_GBK"/>
          <w:sz w:val="24"/>
        </w:rPr>
        <w:t>口令与敏感信息加密机制：系统用户口令在存储时必须采用加盐单向安全哈希算法（支持SM3加盐哈希，或采用PBKDF2/bcrypt算法）进行密文存储；系统后台保存的设备凭据、SNMP通信共同体名、数据库密钥等敏感资产信息，必须采用SM4或AES-256对称加密算法密文存储。</w:t>
      </w:r>
    </w:p>
    <w:p w14:paraId="3A0C9F7D">
      <w:pPr>
        <w:spacing w:before="20" w:after="40" w:line="380" w:lineRule="exact"/>
        <w:ind w:firstLine="480" w:firstLineChars="200"/>
        <w:rPr>
          <w:rFonts w:eastAsia="方正仿宋_GBK"/>
          <w:sz w:val="24"/>
        </w:rPr>
      </w:pPr>
      <w:r>
        <w:rPr>
          <w:rFonts w:hint="eastAsia" w:eastAsia="方正仿宋_GBK"/>
          <w:sz w:val="24"/>
        </w:rPr>
        <w:t>4.2.6</w:t>
      </w:r>
      <w:r>
        <w:rPr>
          <w:rFonts w:eastAsia="方正仿宋_GBK"/>
          <w:sz w:val="24"/>
        </w:rPr>
        <w:t>安全传输协议与密评接口：平台客户端与服务端之间的网络通信全面启用HTTPS（TLS 1.2/1.3）安全传输协议；系统架构支持基于国密算法（SM2/SM3/SM4）的标准TLCP通道扩展与GM/T 0024规范对接，配合全院密评整改。</w:t>
      </w:r>
    </w:p>
    <w:p w14:paraId="114F558E">
      <w:pPr>
        <w:spacing w:before="20" w:after="40" w:line="380" w:lineRule="exact"/>
        <w:ind w:firstLine="480" w:firstLineChars="200"/>
        <w:rPr>
          <w:rFonts w:eastAsia="方正仿宋_GBK"/>
          <w:sz w:val="24"/>
        </w:rPr>
      </w:pPr>
      <w:r>
        <w:rPr>
          <w:rFonts w:hint="eastAsia" w:eastAsia="方正仿宋_GBK"/>
          <w:sz w:val="24"/>
        </w:rPr>
        <w:t>4.2.7</w:t>
      </w:r>
      <w:r>
        <w:rPr>
          <w:rFonts w:eastAsia="方正仿宋_GBK"/>
          <w:sz w:val="24"/>
        </w:rPr>
        <w:t>安全操作审计与完整性保护：平台对所有用户的登录登出、配置变更、工单流转、权限分配等管理操作进行细粒度审计留痕；普通管理员无权篡改或删除审计日志；特权访问采用分权授权、数字签名哈希校验及离线转储等多重完整性保护与追溯机制。</w:t>
      </w:r>
    </w:p>
    <w:p w14:paraId="2B91E594">
      <w:pPr>
        <w:spacing w:before="20" w:after="40" w:line="380" w:lineRule="exact"/>
        <w:ind w:firstLine="480" w:firstLineChars="200"/>
        <w:rPr>
          <w:rFonts w:eastAsia="方正仿宋_GBK"/>
          <w:sz w:val="24"/>
        </w:rPr>
      </w:pPr>
      <w:r>
        <w:rPr>
          <w:rFonts w:hint="eastAsia" w:eastAsia="方正仿宋_GBK"/>
          <w:sz w:val="24"/>
        </w:rPr>
        <w:t>4.2.8</w:t>
      </w:r>
      <w:r>
        <w:rPr>
          <w:rFonts w:eastAsia="方正仿宋_GBK"/>
          <w:sz w:val="24"/>
        </w:rPr>
        <w:t>信创硬件与基础软件兼容：具备高度自主可控的技术架构，无严重开源组件安全漏洞，完全支持在海光、飞腾、鲲鹏等国产主流CPU架构服务器上稳定运行；全面兼容主流国产操作系统、国产数据库及国产中间件。</w:t>
      </w:r>
    </w:p>
    <w:p w14:paraId="17213310">
      <w:pPr>
        <w:spacing w:before="20" w:after="40" w:line="380" w:lineRule="exact"/>
        <w:ind w:firstLine="480" w:firstLineChars="200"/>
        <w:rPr>
          <w:rFonts w:eastAsia="方正仿宋_GBK"/>
          <w:sz w:val="24"/>
        </w:rPr>
      </w:pPr>
      <w:r>
        <w:rPr>
          <w:rFonts w:hint="eastAsia" w:eastAsia="方正仿宋_GBK"/>
          <w:sz w:val="24"/>
        </w:rPr>
        <w:t>4.2.9</w:t>
      </w:r>
      <w:r>
        <w:rPr>
          <w:rFonts w:eastAsia="方正仿宋_GBK"/>
          <w:sz w:val="24"/>
        </w:rPr>
        <w:t>易用性与系统自监控：界面设计采用现代化Flat UI/B端设计规范，交互简洁高效；关键核心功能支持向导式配置，新设备纳管与模板绑定支持批量导入与一键下发；平台自身具备自监控与健康状态指示能力，支持对自身各服务进程、内存占用、数据库存储使用率进行自监控。</w:t>
      </w:r>
    </w:p>
    <w:p w14:paraId="6FB0AD8C">
      <w:pPr>
        <w:pStyle w:val="4"/>
      </w:pPr>
    </w:p>
    <w:p w14:paraId="67FED1A9"/>
    <w:p w14:paraId="35BE3FB3"/>
    <w:p w14:paraId="5E9E80CE"/>
    <w:p w14:paraId="01C04352">
      <w:pPr>
        <w:sectPr>
          <w:footerReference r:id="rId6" w:type="default"/>
          <w:footerReference r:id="rId7" w:type="even"/>
          <w:pgSz w:w="11907" w:h="16840"/>
          <w:pgMar w:top="1134" w:right="1191" w:bottom="1134" w:left="1304" w:header="964" w:footer="992" w:gutter="0"/>
          <w:cols w:space="720" w:num="1"/>
          <w:docGrid w:linePitch="312" w:charSpace="0"/>
        </w:sectPr>
      </w:pPr>
    </w:p>
    <w:p w14:paraId="47E34428">
      <w:pPr>
        <w:pStyle w:val="162"/>
        <w:spacing w:line="360" w:lineRule="exact"/>
        <w:rPr>
          <w:rFonts w:hint="default" w:ascii="Times New Roman" w:hAnsi="Times New Roman"/>
        </w:rPr>
      </w:pPr>
      <w:bookmarkStart w:id="26" w:name="_Toc76462327"/>
      <w:bookmarkStart w:id="27" w:name="_Toc106030882"/>
      <w:r>
        <w:rPr>
          <w:rFonts w:hint="default" w:ascii="Times New Roman" w:hAnsi="Times New Roman"/>
        </w:rPr>
        <w:t xml:space="preserve">第三篇  </w:t>
      </w:r>
      <w:bookmarkEnd w:id="25"/>
      <w:r>
        <w:rPr>
          <w:rFonts w:hint="default" w:ascii="Times New Roman" w:hAnsi="Times New Roman"/>
        </w:rPr>
        <w:t>项目商务需求</w:t>
      </w:r>
      <w:bookmarkEnd w:id="26"/>
      <w:bookmarkEnd w:id="27"/>
    </w:p>
    <w:p w14:paraId="74BA822E">
      <w:pPr>
        <w:pStyle w:val="77"/>
        <w:spacing w:line="440" w:lineRule="exact"/>
        <w:rPr>
          <w:rFonts w:ascii="Times New Roman" w:hAnsi="Times New Roman" w:cs="Times New Roman"/>
        </w:rPr>
      </w:pPr>
      <w:bookmarkStart w:id="28" w:name="_Toc106030887"/>
      <w:bookmarkStart w:id="29" w:name="_Toc76462332"/>
      <w:r>
        <w:rPr>
          <w:rFonts w:ascii="Times New Roman" w:hAnsi="Times New Roman" w:cs="Times New Roman"/>
        </w:rPr>
        <w:t>“※”标注的商务需求为符合性审查中的实质性要求，响应文件若不满足按无效响应处理。</w:t>
      </w:r>
    </w:p>
    <w:p w14:paraId="322112C7">
      <w:pPr>
        <w:pStyle w:val="163"/>
        <w:spacing w:line="440" w:lineRule="exact"/>
        <w:rPr>
          <w:rFonts w:hint="eastAsia"/>
        </w:rPr>
      </w:pPr>
      <w:bookmarkStart w:id="30" w:name="_Toc7083"/>
      <w:r>
        <w:rPr>
          <w:rFonts w:ascii="Times New Roman" w:hAnsi="Times New Roman"/>
        </w:rPr>
        <w:t>※</w:t>
      </w:r>
      <w:r>
        <w:rPr>
          <w:rFonts w:hint="eastAsia"/>
        </w:rPr>
        <w:t>一、服务期限、服务地点及验收方式</w:t>
      </w:r>
      <w:bookmarkEnd w:id="30"/>
    </w:p>
    <w:p w14:paraId="39DA1DB5">
      <w:pPr>
        <w:spacing w:line="440" w:lineRule="exact"/>
        <w:ind w:firstLine="480" w:firstLineChars="200"/>
        <w:rPr>
          <w:rFonts w:eastAsia="方正仿宋_GBK"/>
          <w:sz w:val="24"/>
          <w:szCs w:val="24"/>
        </w:rPr>
      </w:pPr>
      <w:r>
        <w:rPr>
          <w:rFonts w:eastAsia="方正仿宋_GBK"/>
          <w:sz w:val="24"/>
          <w:szCs w:val="24"/>
        </w:rPr>
        <w:t>（一）</w:t>
      </w:r>
      <w:r>
        <w:rPr>
          <w:rFonts w:hint="eastAsia" w:eastAsia="方正仿宋_GBK"/>
          <w:sz w:val="24"/>
          <w:szCs w:val="24"/>
        </w:rPr>
        <w:t>服务期限：</w:t>
      </w:r>
      <w:r>
        <w:rPr>
          <w:rFonts w:eastAsia="方正仿宋_GBK"/>
          <w:sz w:val="24"/>
        </w:rPr>
        <w:t>本项目自合同正式签订生效之日起，总工期要求在120个日历天内完成全系统部署、全量设备接入配置、定制二次开发、系统集成联调并完成不少于30个日历天的连续稳定试运行。如因采购人底层硬件/网络环境准备延迟、第三方系统接口开放延期或政策性突发事件影响实施的，经双方书面确认后工期顺延。</w:t>
      </w:r>
    </w:p>
    <w:p w14:paraId="7FB2722E">
      <w:pPr>
        <w:spacing w:line="440" w:lineRule="exact"/>
        <w:ind w:firstLine="480" w:firstLineChars="200"/>
        <w:rPr>
          <w:rFonts w:eastAsia="方正仿宋_GBK"/>
          <w:sz w:val="24"/>
          <w:szCs w:val="24"/>
        </w:rPr>
      </w:pPr>
      <w:r>
        <w:rPr>
          <w:rFonts w:eastAsia="方正仿宋_GBK"/>
          <w:sz w:val="24"/>
          <w:szCs w:val="24"/>
        </w:rPr>
        <w:t>（二）</w:t>
      </w:r>
      <w:bookmarkStart w:id="31" w:name="_Toc7714"/>
      <w:bookmarkStart w:id="32" w:name="_Toc3420"/>
      <w:r>
        <w:rPr>
          <w:rFonts w:hint="eastAsia" w:eastAsia="方正仿宋_GBK"/>
          <w:sz w:val="24"/>
          <w:szCs w:val="24"/>
        </w:rPr>
        <w:t>实施地点：</w:t>
      </w:r>
      <w:bookmarkEnd w:id="31"/>
      <w:bookmarkEnd w:id="32"/>
      <w:r>
        <w:rPr>
          <w:rFonts w:hint="eastAsia" w:eastAsia="方正仿宋_GBK"/>
          <w:sz w:val="24"/>
          <w:szCs w:val="24"/>
        </w:rPr>
        <w:t>采购人指定地点。</w:t>
      </w:r>
    </w:p>
    <w:p w14:paraId="7BD34F36">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eastAsia="方正仿宋_GBK"/>
          <w:sz w:val="24"/>
          <w:szCs w:val="24"/>
        </w:rPr>
        <w:t>（三）验收方式：</w:t>
      </w:r>
      <w:r>
        <w:rPr>
          <w:rFonts w:eastAsia="方正仿宋_GBK"/>
          <w:sz w:val="24"/>
        </w:rPr>
        <w:t>当系统完成全部软件模块部署、全量设备监控接入、核心系统SLA</w:t>
      </w:r>
      <w:r>
        <w:rPr>
          <w:rFonts w:hint="eastAsia" w:ascii="方正仿宋_GBK" w:hAnsi="方正仿宋_GBK" w:eastAsia="方正仿宋_GBK" w:cs="方正仿宋_GBK"/>
          <w:kern w:val="0"/>
          <w:sz w:val="24"/>
          <w:szCs w:val="24"/>
        </w:rPr>
        <w:t>拨测配置、二次开发模块联调测试以及系统内部自检后，由中标人向采购人提交《初验申请报告》及测试自检报告。采购人组织专业技术人员对平台各项功能进行初验核查。初验合格并签署初验合格单后，系统正式进入不少于30个连续日历天的上线试运行阶段。</w:t>
      </w:r>
    </w:p>
    <w:p w14:paraId="7492B83C">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试运行周期严格执行不少于30个连续日历天的在线实测考核，试运行期间须达到以下量化指标方可申请终验：</w:t>
      </w:r>
    </w:p>
    <w:p w14:paraId="3BB2CC1C">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1.系统运行稳定性指标：试运行期间平台系统可用性指标达到≥99.9%（以系统后台监控数据与非计划中断统计为准），未发生因平台软件自身缺陷导致的关键核心业务监控中断或系统崩溃事件。</w:t>
      </w:r>
    </w:p>
    <w:p w14:paraId="554D20D1">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2.监控与告警准确率指标：全院纳管设备指标数据采集成功率达到≥98%；重大紧急故障告警漏报率为0；有效告警准确率达到≥95%以上。有效告警准确率定义：有效告警准确率 = (经信息科工程师核实具有真实处置意义的告警总数/ (系统触发的告警总数-维护期过滤告警数))×100%。</w:t>
      </w:r>
    </w:p>
    <w:p w14:paraId="0AF0D92E">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3.流程闭环与日志合规指标：临床移动端扫码报修与工单流转闭环率达到100%，系统操作日志与网络安全审计日志连续完整记录且无篡改遗失，验证只读存储与哈希比对一致。</w:t>
      </w:r>
    </w:p>
    <w:p w14:paraId="54C878BA">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4.驻场支持与培训达标指标：中标人驻场伴跑工程师严格执行现场支持义务，完成全部既定技术调优与用户分级培训，培训考核合格率达到100%。</w:t>
      </w:r>
    </w:p>
    <w:p w14:paraId="29CC4832">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试运行期满考核合格后，由中标人提出终验申请，采购人组织由信息技术专家构成的验收委员会召开项目综合终验评审会。项目终验必须同时满足以下条件：①平台各项功能指标与非功能指标完全符合本招标文件、投标文件及合同约定的全部技术规格要求，无遗留重大系统缺陷；②中标人已向采购人完整移交全套工程实施交付文档、培训记录及二次开发接口文档，文档内容详实、格式规范并经采购人审核归档确认；③验收委员会专家现场查验系统运行状态并出具正面评审意见，各方代表共同在《项目最终综合验收报告》上签字盖章，系统正式转入质保期售后运维阶段。</w:t>
      </w:r>
    </w:p>
    <w:p w14:paraId="1CFA6ABA">
      <w:pPr>
        <w:pStyle w:val="3"/>
        <w:snapToGrid w:val="0"/>
        <w:spacing w:before="0" w:after="0" w:line="440" w:lineRule="exact"/>
        <w:ind w:firstLine="482" w:firstLineChars="200"/>
        <w:jc w:val="left"/>
        <w:rPr>
          <w:rFonts w:hint="eastAsia" w:ascii="仿宋" w:hAnsi="仿宋" w:eastAsia="仿宋" w:cs="仿宋"/>
          <w:sz w:val="24"/>
          <w:szCs w:val="24"/>
        </w:rPr>
      </w:pPr>
      <w:bookmarkStart w:id="33" w:name="_Toc9931"/>
      <w:bookmarkStart w:id="34" w:name="_Toc4334"/>
      <w:bookmarkStart w:id="35" w:name="_Toc344475121"/>
      <w:bookmarkStart w:id="36" w:name="_Toc10758"/>
      <w:r>
        <w:rPr>
          <w:rFonts w:hint="eastAsia" w:ascii="仿宋" w:hAnsi="仿宋" w:eastAsia="仿宋" w:cs="仿宋"/>
          <w:sz w:val="24"/>
          <w:szCs w:val="24"/>
        </w:rPr>
        <w:t>※二、实施团队人员配置与专业资质要求</w:t>
      </w:r>
    </w:p>
    <w:p w14:paraId="4DDD1CC3">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1.为确保本项目按时保质交付上线，投标人拟派团队应结构合理、技术过硬并保持人员稳定。拟派往本项目的团队成员应具备与本项目相匹配的专业运维与工程实施能力。</w:t>
      </w:r>
    </w:p>
    <w:p w14:paraId="36A551B6">
      <w:pPr>
        <w:snapToGrid w:val="0"/>
        <w:spacing w:line="44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2.人员稳定性与服务承诺：项目经理须具备大型信息化或监控运维项目实施管理经验；在项目实施全周期内，项目团队核心人员未经采购人书面同意不得随意调换或撤离。</w:t>
      </w:r>
    </w:p>
    <w:p w14:paraId="7F3C8A08">
      <w:pPr>
        <w:pStyle w:val="3"/>
        <w:snapToGrid w:val="0"/>
        <w:spacing w:before="0" w:after="0" w:line="440" w:lineRule="exact"/>
        <w:ind w:firstLine="480" w:firstLineChars="200"/>
        <w:jc w:val="left"/>
        <w:rPr>
          <w:rFonts w:hint="eastAsia" w:ascii="方正仿宋_GBK" w:hAnsi="方正仿宋_GBK" w:eastAsia="方正仿宋_GBK" w:cs="方正仿宋_GBK"/>
          <w:b w:val="0"/>
          <w:kern w:val="0"/>
          <w:sz w:val="24"/>
          <w:szCs w:val="24"/>
        </w:rPr>
      </w:pPr>
      <w:r>
        <w:rPr>
          <w:rFonts w:hint="eastAsia" w:ascii="方正仿宋_GBK" w:hAnsi="方正仿宋_GBK" w:eastAsia="方正仿宋_GBK" w:cs="方正仿宋_GBK"/>
          <w:b w:val="0"/>
          <w:kern w:val="0"/>
          <w:sz w:val="24"/>
          <w:szCs w:val="24"/>
        </w:rPr>
        <w:t>3.专人驻场伴跑保障：在系统完成安装部署与全量监控对象接入后，必须进行不少于30个连续日历天的全业务场景试运行考核。在试运行期间，中标人必须派驻至少1名具备3年以上实战经验的资深工程师常驻医院现场提供“贴身伴跑”保障服务。</w:t>
      </w:r>
    </w:p>
    <w:p w14:paraId="508849B8">
      <w:pPr>
        <w:spacing w:before="20" w:after="40" w:line="38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4.持续调优与故障处置：试运行期间，驻场工程师须负责系统日常巡检、告警阈值持续精细化调优、误报与噪声消除、处理临床及运维人员提出的使用反馈、保障平台7×24小时连续稳定运转，并负责编制详尽的试运行日志与每周优化报告。</w:t>
      </w:r>
    </w:p>
    <w:p w14:paraId="1780F894">
      <w:pPr>
        <w:pStyle w:val="3"/>
        <w:snapToGrid w:val="0"/>
        <w:spacing w:before="0" w:after="0" w:line="440" w:lineRule="exact"/>
        <w:ind w:firstLine="482" w:firstLineChars="200"/>
        <w:jc w:val="left"/>
        <w:rPr>
          <w:rFonts w:hint="eastAsia" w:ascii="仿宋" w:hAnsi="仿宋" w:eastAsia="仿宋" w:cs="仿宋"/>
          <w:sz w:val="24"/>
          <w:szCs w:val="24"/>
        </w:rPr>
      </w:pPr>
      <w:r>
        <w:rPr>
          <w:rFonts w:hint="eastAsia" w:ascii="仿宋" w:hAnsi="仿宋" w:eastAsia="仿宋" w:cs="仿宋"/>
          <w:sz w:val="24"/>
          <w:szCs w:val="24"/>
        </w:rPr>
        <w:t>※三、分级培训与技术文档交付规范</w:t>
      </w:r>
    </w:p>
    <w:p w14:paraId="49CD0C59">
      <w:pPr>
        <w:spacing w:before="20" w:after="40" w:line="38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1.分级技术培训：中标人须制定科学完整的分级培训方案：培训对象涵盖系统管理员（掌握系统部署架构、容灾备份、信创调优与权限分配）、运维工程师（掌握告警规则设置、拓扑绘制、故障排查、工单流转与资产维护）及临床科室联络员（掌握移动端扫码报修与进度查询）。培训须提供讲义教材、上机实操指导并进行考核。</w:t>
      </w:r>
    </w:p>
    <w:p w14:paraId="5A5F9037">
      <w:pPr>
        <w:spacing w:before="20" w:after="40" w:line="380" w:lineRule="exact"/>
        <w:ind w:firstLine="480" w:firstLineChars="200"/>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2.全套工程交付文档：项目最终验收前，中标人必须向采购人交付全套规范的纸质版（加盖公章）及电子版（Word及PDF格式）工程文档，包括：《需求确认说明书》《系统架构与部署设计方案》《网络与系统拓扑图》《监控对象纳管与告警配置清单》《二次开发技术说明与API接口手册》《系统管理员维护手册》《运维用户操作手册》《试运行总结与验收报告》等。</w:t>
      </w:r>
    </w:p>
    <w:p w14:paraId="1F2C7EAD">
      <w:pPr>
        <w:pStyle w:val="3"/>
        <w:snapToGrid w:val="0"/>
        <w:spacing w:before="0" w:after="0" w:line="440" w:lineRule="exact"/>
        <w:ind w:firstLine="482" w:firstLineChars="200"/>
        <w:jc w:val="left"/>
        <w:rPr>
          <w:rFonts w:hint="eastAsia" w:ascii="仿宋" w:hAnsi="仿宋" w:eastAsia="仿宋" w:cs="仿宋"/>
        </w:rPr>
      </w:pPr>
      <w:r>
        <w:rPr>
          <w:rFonts w:hint="eastAsia" w:ascii="仿宋" w:hAnsi="仿宋" w:eastAsia="仿宋" w:cs="仿宋"/>
          <w:sz w:val="24"/>
          <w:szCs w:val="24"/>
        </w:rPr>
        <w:t>※四、</w:t>
      </w:r>
      <w:bookmarkEnd w:id="33"/>
      <w:bookmarkEnd w:id="34"/>
      <w:r>
        <w:rPr>
          <w:rFonts w:hint="eastAsia" w:ascii="仿宋" w:hAnsi="仿宋" w:eastAsia="仿宋" w:cs="仿宋"/>
          <w:sz w:val="24"/>
          <w:szCs w:val="24"/>
        </w:rPr>
        <w:t>售后服务与运行维护保障要求</w:t>
      </w:r>
    </w:p>
    <w:p w14:paraId="09046D85">
      <w:pPr>
        <w:pStyle w:val="77"/>
        <w:spacing w:line="440" w:lineRule="exact"/>
        <w:rPr>
          <w:rFonts w:hint="eastAsia"/>
          <w:kern w:val="0"/>
        </w:rPr>
      </w:pPr>
      <w:r>
        <w:rPr>
          <w:rFonts w:hint="eastAsia"/>
          <w:kern w:val="0"/>
        </w:rPr>
        <w:t>本项目软件平台及全部定制开发成果自项目最终验收合格签署之日起，中标人必须提供不少于1年的免费原厂维保与技术支持服务。在免费质保期内，中标人负责提供全面的系统功能维护、缺陷修复、性能调优、安全补丁修复以及同版本软件的免费升级支持，所发生的全部技术服务费用均已包含在本次投标总报价中。</w:t>
      </w:r>
    </w:p>
    <w:p w14:paraId="09EA436A">
      <w:pPr>
        <w:pStyle w:val="77"/>
        <w:spacing w:line="440" w:lineRule="exact"/>
        <w:rPr>
          <w:rFonts w:hint="eastAsia"/>
          <w:kern w:val="0"/>
        </w:rPr>
      </w:pPr>
      <w:r>
        <w:rPr>
          <w:rFonts w:hint="eastAsia"/>
          <w:kern w:val="0"/>
        </w:rPr>
        <w:t>1.一级重大紧急故障响应：导致全院监控中断、数据库崩溃或告警失灵等一级重大紧急故障，中标人必须在15分钟内响应，2小时内到达现场或远程接入，4小时内彻底解决恢复系统；如4小时内无法彻底解决，必须立即提供备用替代方案保障运维监控不中断。</w:t>
      </w:r>
    </w:p>
    <w:p w14:paraId="7B28E08B">
      <w:pPr>
        <w:pStyle w:val="77"/>
        <w:spacing w:line="440" w:lineRule="exact"/>
        <w:rPr>
          <w:rFonts w:hint="eastAsia"/>
          <w:kern w:val="0"/>
        </w:rPr>
      </w:pPr>
      <w:r>
        <w:rPr>
          <w:rFonts w:hint="eastAsia"/>
          <w:kern w:val="0"/>
        </w:rPr>
        <w:t>2.二级一般业务故障响应：影响部分功能使用或单项采集异常的二级故障，中标人必须在30分钟内响应，4小时内到达现场或远程排查，8小时内完成修复排除。</w:t>
      </w:r>
    </w:p>
    <w:p w14:paraId="6A3B26AF">
      <w:pPr>
        <w:pStyle w:val="77"/>
        <w:spacing w:line="440" w:lineRule="exact"/>
        <w:rPr>
          <w:rFonts w:hint="eastAsia"/>
          <w:kern w:val="0"/>
        </w:rPr>
      </w:pPr>
      <w:r>
        <w:rPr>
          <w:rFonts w:hint="eastAsia"/>
          <w:kern w:val="0"/>
        </w:rPr>
        <w:t>3.三级日常咨询优化响应：日常功能咨询、配置优化及非紧急三级事件，中标人必须在1小时内响应，24小时内给出明确处置结论与解决方案。</w:t>
      </w:r>
    </w:p>
    <w:p w14:paraId="7A4800E1">
      <w:pPr>
        <w:pStyle w:val="77"/>
        <w:spacing w:line="440" w:lineRule="exact"/>
        <w:rPr>
          <w:rFonts w:hint="eastAsia"/>
          <w:kern w:val="0"/>
        </w:rPr>
      </w:pPr>
      <w:r>
        <w:rPr>
          <w:rFonts w:hint="eastAsia"/>
          <w:kern w:val="0"/>
        </w:rPr>
        <w:t>4.季度现场健康巡检：在免费质保期内，中标人须安排资深工程师每季度开展不少于1次现场深度健康体检，巡检内容包括系统运行资源、数据库性能、告警规则有效性、数据备份完整性及安全日志状态，巡检完成后3个工作日内出具正式的《系统健康巡检报告》并提供优化改进建议。</w:t>
      </w:r>
    </w:p>
    <w:p w14:paraId="3756BADD">
      <w:pPr>
        <w:pStyle w:val="77"/>
        <w:spacing w:line="440" w:lineRule="exact"/>
        <w:rPr>
          <w:rFonts w:hint="eastAsia"/>
          <w:kern w:val="0"/>
        </w:rPr>
      </w:pPr>
      <w:r>
        <w:rPr>
          <w:rFonts w:hint="eastAsia"/>
          <w:kern w:val="0"/>
        </w:rPr>
        <w:t>5.关键时期驻场重保：在国家法定重大节假日（国庆、春节）、卫健委重大会议保障期、医院重大信息系统升级切换以及三甲医院等级评审等关键节点，中标人须根据采购人要求提供专人现场重保驻场服务，确保平台在关键时期万无一失。</w:t>
      </w:r>
    </w:p>
    <w:p w14:paraId="154B8555">
      <w:pPr>
        <w:pStyle w:val="163"/>
        <w:spacing w:line="440" w:lineRule="exact"/>
        <w:rPr>
          <w:rFonts w:hint="eastAsia"/>
        </w:rPr>
      </w:pPr>
      <w:r>
        <w:rPr>
          <w:rFonts w:ascii="Times New Roman" w:hAnsi="Times New Roman"/>
        </w:rPr>
        <w:t>※</w:t>
      </w:r>
      <w:r>
        <w:rPr>
          <w:rFonts w:hint="eastAsia"/>
        </w:rPr>
        <w:t>五、</w:t>
      </w:r>
      <w:bookmarkEnd w:id="35"/>
      <w:r>
        <w:rPr>
          <w:rFonts w:hint="eastAsia"/>
        </w:rPr>
        <w:t>报价要求</w:t>
      </w:r>
      <w:bookmarkEnd w:id="36"/>
      <w:r>
        <w:rPr>
          <w:rFonts w:hint="eastAsia"/>
        </w:rPr>
        <w:t xml:space="preserve"> </w:t>
      </w:r>
    </w:p>
    <w:p w14:paraId="0D46C794">
      <w:pPr>
        <w:spacing w:before="20" w:after="40" w:line="380" w:lineRule="exact"/>
        <w:ind w:firstLine="480" w:firstLineChars="200"/>
        <w:rPr>
          <w:rFonts w:eastAsia="方正仿宋_GBK"/>
          <w:sz w:val="24"/>
        </w:rPr>
      </w:pPr>
      <w:bookmarkStart w:id="37" w:name="_Toc19577"/>
      <w:bookmarkStart w:id="38" w:name="_Toc444169094"/>
      <w:bookmarkStart w:id="39" w:name="_Toc6114"/>
      <w:r>
        <w:rPr>
          <w:rFonts w:eastAsia="方正仿宋_GBK"/>
          <w:sz w:val="24"/>
        </w:rPr>
        <w:t>本次报价须为人民币含税报价</w:t>
      </w:r>
      <w:r>
        <w:rPr>
          <w:rFonts w:hint="eastAsia" w:eastAsia="方正仿宋_GBK"/>
          <w:sz w:val="24"/>
        </w:rPr>
        <w:t>。</w:t>
      </w:r>
      <w:r>
        <w:rPr>
          <w:rFonts w:eastAsia="方正仿宋_GBK"/>
          <w:sz w:val="24"/>
        </w:rPr>
        <w:t>费用包含范围说明：在投标文件中所报总价已包含成套平台软件许可、全部定制二次开发、系统集成对接、成果转化协同、驻场实施伴跑、需求调研、方案设计、环境部署、资源接入、联调测试、试运行保障、可视化视图定制、接口开发、数据适配、文档编制、现场培训、操作实操、质保期内 BUG 修复、版本补丁升级、策略调优、远程及现场技术支持、人员驻场、差旅费、工具费、第三方依赖组件授权、税费、项目风险费、验收相关费及免费质保期内的全部费用。采购人无需再向中标人支付任何额外费用。</w:t>
      </w:r>
      <w:r>
        <w:rPr>
          <w:rFonts w:hint="eastAsia" w:eastAsia="方正仿宋_GBK"/>
          <w:sz w:val="24"/>
        </w:rPr>
        <w:t>因投标人自身原因造成漏报、少报皆由其自行承担责任，采购人不再补偿。</w:t>
      </w:r>
    </w:p>
    <w:p w14:paraId="6F6326FE">
      <w:pPr>
        <w:pStyle w:val="163"/>
        <w:spacing w:line="440" w:lineRule="exact"/>
        <w:rPr>
          <w:rFonts w:hint="eastAsia" w:cs="方正仿宋_GBK"/>
        </w:rPr>
      </w:pPr>
      <w:r>
        <w:rPr>
          <w:rFonts w:hint="eastAsia" w:cs="方正仿宋_GBK"/>
        </w:rPr>
        <w:t>※六、</w:t>
      </w:r>
      <w:bookmarkEnd w:id="37"/>
      <w:bookmarkEnd w:id="38"/>
      <w:r>
        <w:rPr>
          <w:rFonts w:hint="eastAsia" w:cs="方正仿宋_GBK"/>
        </w:rPr>
        <w:t>付款方式</w:t>
      </w:r>
      <w:bookmarkEnd w:id="39"/>
    </w:p>
    <w:p w14:paraId="49DBE13F">
      <w:pPr>
        <w:spacing w:before="20" w:after="40" w:line="380" w:lineRule="exact"/>
        <w:ind w:firstLine="480" w:firstLineChars="200"/>
        <w:rPr>
          <w:rFonts w:eastAsia="方正仿宋_GBK"/>
          <w:sz w:val="24"/>
        </w:rPr>
      </w:pPr>
      <w:r>
        <w:rPr>
          <w:rFonts w:hint="eastAsia" w:eastAsia="方正仿宋_GBK"/>
          <w:sz w:val="24"/>
        </w:rPr>
        <w:t>合同签订并系统上线后，</w:t>
      </w:r>
      <w:r>
        <w:rPr>
          <w:rFonts w:hint="eastAsia" w:eastAsia="方正仿宋_GBK"/>
          <w:sz w:val="24"/>
          <w:lang w:val="en-US" w:eastAsia="zh-CN"/>
        </w:rPr>
        <w:t>中标人</w:t>
      </w:r>
      <w:r>
        <w:rPr>
          <w:rFonts w:hint="eastAsia" w:eastAsia="方正仿宋_GBK"/>
          <w:sz w:val="24"/>
        </w:rPr>
        <w:t>开具正规发票，</w:t>
      </w:r>
      <w:r>
        <w:rPr>
          <w:rFonts w:hint="eastAsia" w:eastAsia="方正仿宋_GBK"/>
          <w:sz w:val="24"/>
          <w:lang w:val="en-US" w:eastAsia="zh-CN"/>
        </w:rPr>
        <w:t>采购人</w:t>
      </w:r>
      <w:r>
        <w:rPr>
          <w:rFonts w:hint="eastAsia" w:eastAsia="方正仿宋_GBK"/>
          <w:sz w:val="24"/>
        </w:rPr>
        <w:t>收到发票后支付50%合同款。</w:t>
      </w:r>
    </w:p>
    <w:p w14:paraId="135D1B36">
      <w:pPr>
        <w:spacing w:before="20" w:after="40" w:line="380" w:lineRule="exact"/>
        <w:ind w:firstLine="480" w:firstLineChars="200"/>
      </w:pPr>
      <w:r>
        <w:rPr>
          <w:rFonts w:hint="eastAsia" w:eastAsia="方正仿宋_GBK"/>
          <w:sz w:val="24"/>
        </w:rPr>
        <w:t>验收合格后</w:t>
      </w:r>
      <w:r>
        <w:rPr>
          <w:rFonts w:hint="eastAsia" w:eastAsia="方正仿宋_GBK"/>
          <w:sz w:val="24"/>
          <w:lang w:val="en-US" w:eastAsia="zh-CN"/>
        </w:rPr>
        <w:t>中标人</w:t>
      </w:r>
      <w:r>
        <w:rPr>
          <w:rFonts w:hint="eastAsia" w:eastAsia="方正仿宋_GBK"/>
          <w:sz w:val="24"/>
        </w:rPr>
        <w:t>开具正规发票，</w:t>
      </w:r>
      <w:r>
        <w:rPr>
          <w:rFonts w:hint="eastAsia" w:eastAsia="方正仿宋_GBK"/>
          <w:sz w:val="24"/>
          <w:lang w:val="en-US" w:eastAsia="zh-CN"/>
        </w:rPr>
        <w:t>采购人</w:t>
      </w:r>
      <w:r>
        <w:rPr>
          <w:rFonts w:hint="eastAsia" w:eastAsia="方正仿宋_GBK"/>
          <w:sz w:val="24"/>
        </w:rPr>
        <w:t>收到发票后支付40%合同款。服务期满一年，</w:t>
      </w:r>
      <w:r>
        <w:rPr>
          <w:rFonts w:hint="eastAsia" w:eastAsia="方正仿宋_GBK"/>
          <w:sz w:val="24"/>
          <w:lang w:val="en-US" w:eastAsia="zh-CN"/>
        </w:rPr>
        <w:t>中标人</w:t>
      </w:r>
      <w:r>
        <w:rPr>
          <w:rFonts w:hint="eastAsia" w:eastAsia="方正仿宋_GBK"/>
          <w:sz w:val="24"/>
        </w:rPr>
        <w:t>提起尾款申请并开具正规发票，</w:t>
      </w:r>
      <w:r>
        <w:rPr>
          <w:rFonts w:hint="eastAsia" w:eastAsia="方正仿宋_GBK"/>
          <w:sz w:val="24"/>
          <w:lang w:val="en-US" w:eastAsia="zh-CN"/>
        </w:rPr>
        <w:t>采购人</w:t>
      </w:r>
      <w:r>
        <w:rPr>
          <w:rFonts w:hint="eastAsia" w:eastAsia="方正仿宋_GBK"/>
          <w:sz w:val="24"/>
        </w:rPr>
        <w:t>收到发票后支付10%的尾款。</w:t>
      </w:r>
    </w:p>
    <w:p w14:paraId="75E99A9D">
      <w:pPr>
        <w:pStyle w:val="3"/>
        <w:snapToGrid w:val="0"/>
        <w:spacing w:before="0" w:after="0" w:line="44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※七、知识产权</w:t>
      </w:r>
    </w:p>
    <w:p w14:paraId="1DDD7B7D">
      <w:pPr>
        <w:pStyle w:val="22"/>
        <w:spacing w:line="440" w:lineRule="exact"/>
        <w:ind w:firstLine="480" w:firstLineChars="200"/>
        <w:rPr>
          <w:rFonts w:hint="eastAsia"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中标人应保证，采购人在中华人民共和国境内使用供应商提供的货物及服务时免受第三方提出的侵犯其专利权或其他知识产权的起诉。如果第三方提出侵权指控，中标人应承担由此而引起的一切法律责任和费用。</w:t>
      </w:r>
    </w:p>
    <w:p w14:paraId="54D72707">
      <w:pPr>
        <w:pStyle w:val="77"/>
        <w:spacing w:line="440" w:lineRule="exact"/>
        <w:rPr>
          <w:rFonts w:hint="eastAsia"/>
          <w:b/>
          <w:bCs/>
        </w:rPr>
      </w:pPr>
      <w:r>
        <w:rPr>
          <w:rFonts w:hint="eastAsia"/>
        </w:rPr>
        <w:t>※</w:t>
      </w:r>
      <w:r>
        <w:rPr>
          <w:rFonts w:hint="eastAsia"/>
          <w:b/>
          <w:bCs/>
        </w:rPr>
        <w:t>八、其他商务要求内容</w:t>
      </w:r>
    </w:p>
    <w:p w14:paraId="5D010F5C">
      <w:pPr>
        <w:snapToGrid w:val="0"/>
        <w:spacing w:line="400" w:lineRule="exact"/>
        <w:ind w:firstLine="480" w:firstLineChars="200"/>
        <w:rPr>
          <w:rFonts w:eastAsia="方正仿宋_GBK"/>
          <w:sz w:val="24"/>
          <w:szCs w:val="24"/>
        </w:rPr>
      </w:pPr>
      <w:r>
        <w:rPr>
          <w:rFonts w:hint="eastAsia" w:eastAsia="方正仿宋_GBK"/>
          <w:sz w:val="24"/>
          <w:szCs w:val="24"/>
        </w:rPr>
        <w:t>1.供应商必须在响应文件中对以上条款和服务承诺明确列出，承诺内容必须达到本篇及采购文件其他条款的要求；</w:t>
      </w:r>
    </w:p>
    <w:p w14:paraId="0CB711C5">
      <w:pPr>
        <w:snapToGrid w:val="0"/>
        <w:spacing w:line="400" w:lineRule="exact"/>
        <w:ind w:firstLine="480" w:firstLineChars="200"/>
        <w:rPr>
          <w:rFonts w:eastAsia="方正仿宋_GBK"/>
          <w:sz w:val="24"/>
          <w:szCs w:val="24"/>
        </w:rPr>
      </w:pPr>
      <w:r>
        <w:rPr>
          <w:rFonts w:hint="eastAsia" w:eastAsia="方正仿宋_GBK"/>
          <w:sz w:val="24"/>
          <w:szCs w:val="24"/>
        </w:rPr>
        <w:t>2.其他未尽事宜由供需双方在采购合同中详细约定。</w:t>
      </w:r>
    </w:p>
    <w:p w14:paraId="663161C5">
      <w:pPr>
        <w:snapToGrid w:val="0"/>
        <w:spacing w:line="400" w:lineRule="exact"/>
        <w:ind w:firstLine="480" w:firstLineChars="200"/>
        <w:rPr>
          <w:rFonts w:eastAsia="方正仿宋_GBK"/>
          <w:sz w:val="24"/>
          <w:szCs w:val="24"/>
        </w:rPr>
      </w:pPr>
    </w:p>
    <w:p w14:paraId="0F80AD0B">
      <w:pPr>
        <w:snapToGrid w:val="0"/>
        <w:spacing w:line="400" w:lineRule="exact"/>
        <w:ind w:firstLine="480" w:firstLineChars="200"/>
        <w:rPr>
          <w:rFonts w:eastAsia="方正仿宋_GBK"/>
          <w:sz w:val="24"/>
          <w:szCs w:val="24"/>
        </w:rPr>
      </w:pPr>
    </w:p>
    <w:p w14:paraId="567B36BE"/>
    <w:p w14:paraId="4FEFF642">
      <w:pPr>
        <w:pStyle w:val="162"/>
        <w:spacing w:line="240" w:lineRule="auto"/>
        <w:jc w:val="both"/>
        <w:rPr>
          <w:rFonts w:hint="default" w:ascii="Times New Roman" w:hAnsi="Times New Roman"/>
        </w:rPr>
      </w:pPr>
      <w:r>
        <w:rPr>
          <w:rFonts w:hint="default" w:ascii="Times New Roman" w:hAnsi="Times New Roman"/>
        </w:rPr>
        <w:t>第四篇  比选程序及方法、评审标准、无效响应和采购终止</w:t>
      </w:r>
      <w:bookmarkEnd w:id="28"/>
      <w:bookmarkEnd w:id="29"/>
    </w:p>
    <w:p w14:paraId="43C716A5">
      <w:pPr>
        <w:pStyle w:val="163"/>
        <w:rPr>
          <w:rFonts w:ascii="Times New Roman" w:hAnsi="Times New Roman"/>
        </w:rPr>
      </w:pPr>
      <w:bookmarkStart w:id="40" w:name="_Toc106030888"/>
      <w:bookmarkStart w:id="41" w:name="_Toc76462333"/>
      <w:bookmarkStart w:id="42" w:name="_Toc102227313"/>
      <w:bookmarkStart w:id="43" w:name="_Toc106030892"/>
      <w:bookmarkStart w:id="44" w:name="_Toc76462337"/>
      <w:r>
        <w:rPr>
          <w:rFonts w:ascii="Times New Roman" w:hAnsi="Times New Roman"/>
        </w:rPr>
        <w:t>一、比选程序及方法</w:t>
      </w:r>
      <w:bookmarkEnd w:id="40"/>
      <w:bookmarkEnd w:id="41"/>
    </w:p>
    <w:p w14:paraId="47BC9B85">
      <w:pPr>
        <w:pStyle w:val="77"/>
        <w:rPr>
          <w:rFonts w:ascii="Times New Roman" w:hAnsi="Times New Roman" w:cs="Times New Roman"/>
        </w:rPr>
      </w:pPr>
      <w:r>
        <w:rPr>
          <w:rFonts w:ascii="Times New Roman" w:hAnsi="Times New Roman" w:cs="Times New Roman"/>
        </w:rPr>
        <w:t>（一）比选按公开比选文件规定的时间和地点进行，供应商须有法定代表人（或其授权代表）或自然人参加并签到。本项目由公开比选小组（以下简称比选小组）分别与各供应商进行比选。</w:t>
      </w:r>
    </w:p>
    <w:p w14:paraId="29A72684">
      <w:pPr>
        <w:pStyle w:val="77"/>
        <w:rPr>
          <w:rFonts w:ascii="Times New Roman" w:hAnsi="Times New Roman" w:cs="Times New Roman"/>
        </w:rPr>
      </w:pPr>
      <w:r>
        <w:rPr>
          <w:rFonts w:ascii="Times New Roman" w:hAnsi="Times New Roman" w:cs="Times New Roman"/>
        </w:rPr>
        <w:t>（二）比选小组对各供应商的资格条件、响应文件的有效性、完整性和响应程度进行审查。各供应商只有在完全符合要求的前提下，才能参与正式比选。</w:t>
      </w:r>
    </w:p>
    <w:p w14:paraId="0C7D70B2">
      <w:pPr>
        <w:pStyle w:val="77"/>
        <w:rPr>
          <w:rFonts w:ascii="Times New Roman" w:hAnsi="Times New Roman" w:cs="Times New Roman"/>
        </w:rPr>
      </w:pPr>
      <w:r>
        <w:rPr>
          <w:rFonts w:ascii="Times New Roman" w:hAnsi="Times New Roman" w:cs="Times New Roman"/>
        </w:rPr>
        <w:t>1.资格性审查。依据法律法规和公开比选文件的规定，对响应文件中的资格证明等进行审查，以确定供应商是否具备比选资格。资格性审查资料表如下：</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3118"/>
        <w:gridCol w:w="4984"/>
      </w:tblGrid>
      <w:tr w14:paraId="0121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43590EDE">
            <w:pPr>
              <w:jc w:val="center"/>
              <w:rPr>
                <w:rFonts w:eastAsia="方正仿宋_GBK"/>
                <w:b/>
                <w:kern w:val="0"/>
                <w:sz w:val="21"/>
                <w:szCs w:val="21"/>
              </w:rPr>
            </w:pPr>
            <w:r>
              <w:rPr>
                <w:rFonts w:eastAsia="方正仿宋_GBK"/>
                <w:b/>
                <w:kern w:val="0"/>
                <w:sz w:val="21"/>
                <w:szCs w:val="21"/>
              </w:rPr>
              <w:t>序号</w:t>
            </w:r>
          </w:p>
        </w:tc>
        <w:tc>
          <w:tcPr>
            <w:tcW w:w="3827" w:type="dxa"/>
            <w:gridSpan w:val="2"/>
            <w:tcBorders>
              <w:top w:val="single" w:color="auto" w:sz="4" w:space="0"/>
              <w:left w:val="single" w:color="auto" w:sz="4" w:space="0"/>
              <w:bottom w:val="single" w:color="auto" w:sz="4" w:space="0"/>
              <w:right w:val="single" w:color="auto" w:sz="4" w:space="0"/>
            </w:tcBorders>
            <w:vAlign w:val="center"/>
          </w:tcPr>
          <w:p w14:paraId="4A9C28F3">
            <w:pPr>
              <w:jc w:val="center"/>
              <w:rPr>
                <w:rFonts w:eastAsia="方正仿宋_GBK"/>
                <w:b/>
                <w:kern w:val="0"/>
                <w:sz w:val="21"/>
                <w:szCs w:val="21"/>
              </w:rPr>
            </w:pPr>
            <w:r>
              <w:rPr>
                <w:rFonts w:eastAsia="方正仿宋_GBK"/>
                <w:b/>
                <w:kern w:val="0"/>
                <w:sz w:val="21"/>
                <w:szCs w:val="21"/>
              </w:rPr>
              <w:t>检查因素</w:t>
            </w:r>
          </w:p>
        </w:tc>
        <w:tc>
          <w:tcPr>
            <w:tcW w:w="4984" w:type="dxa"/>
            <w:tcBorders>
              <w:top w:val="single" w:color="auto" w:sz="4" w:space="0"/>
              <w:left w:val="single" w:color="auto" w:sz="4" w:space="0"/>
              <w:bottom w:val="single" w:color="auto" w:sz="4" w:space="0"/>
              <w:right w:val="single" w:color="auto" w:sz="4" w:space="0"/>
            </w:tcBorders>
            <w:vAlign w:val="center"/>
          </w:tcPr>
          <w:p w14:paraId="63DBC4FF">
            <w:pPr>
              <w:jc w:val="center"/>
              <w:rPr>
                <w:rFonts w:eastAsia="方正仿宋_GBK"/>
                <w:b/>
                <w:kern w:val="0"/>
                <w:sz w:val="21"/>
                <w:szCs w:val="21"/>
              </w:rPr>
            </w:pPr>
            <w:r>
              <w:rPr>
                <w:rFonts w:eastAsia="方正仿宋_GBK"/>
                <w:b/>
                <w:kern w:val="0"/>
                <w:sz w:val="21"/>
                <w:szCs w:val="21"/>
              </w:rPr>
              <w:t>检查内容</w:t>
            </w:r>
          </w:p>
        </w:tc>
      </w:tr>
      <w:tr w14:paraId="4E9F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14:paraId="775AAAD0">
            <w:pPr>
              <w:jc w:val="center"/>
              <w:rPr>
                <w:rFonts w:eastAsia="方正仿宋_GBK"/>
                <w:sz w:val="21"/>
                <w:szCs w:val="21"/>
              </w:rPr>
            </w:pPr>
            <w:r>
              <w:rPr>
                <w:rFonts w:eastAsia="方正仿宋_GBK"/>
                <w:sz w:val="21"/>
                <w:szCs w:val="21"/>
              </w:rPr>
              <w:t>（一）</w:t>
            </w:r>
          </w:p>
        </w:tc>
        <w:tc>
          <w:tcPr>
            <w:tcW w:w="709" w:type="dxa"/>
            <w:vMerge w:val="restart"/>
            <w:vAlign w:val="center"/>
          </w:tcPr>
          <w:p w14:paraId="6C57E4EC">
            <w:pPr>
              <w:rPr>
                <w:rFonts w:eastAsia="方正仿宋_GBK"/>
                <w:sz w:val="21"/>
                <w:szCs w:val="21"/>
                <w:lang w:val="zh-CN"/>
              </w:rPr>
            </w:pPr>
            <w:r>
              <w:rPr>
                <w:rFonts w:eastAsia="方正仿宋_GBK"/>
                <w:sz w:val="21"/>
                <w:szCs w:val="21"/>
                <w:lang w:val="zh-CN"/>
              </w:rPr>
              <w:t>《中华人民共和国政府采购法》第二十二条规定</w:t>
            </w:r>
          </w:p>
        </w:tc>
        <w:tc>
          <w:tcPr>
            <w:tcW w:w="3118" w:type="dxa"/>
            <w:vAlign w:val="center"/>
          </w:tcPr>
          <w:p w14:paraId="02F624C1">
            <w:pPr>
              <w:rPr>
                <w:rFonts w:eastAsia="方正仿宋_GBK"/>
                <w:sz w:val="21"/>
                <w:szCs w:val="21"/>
              </w:rPr>
            </w:pPr>
            <w:r>
              <w:rPr>
                <w:rFonts w:eastAsia="方正仿宋_GBK"/>
                <w:sz w:val="21"/>
                <w:szCs w:val="21"/>
              </w:rPr>
              <w:t>1.具有独立承担民事责任的能力</w:t>
            </w:r>
          </w:p>
        </w:tc>
        <w:tc>
          <w:tcPr>
            <w:tcW w:w="4984" w:type="dxa"/>
            <w:vAlign w:val="center"/>
          </w:tcPr>
          <w:p w14:paraId="37ECACB2">
            <w:pPr>
              <w:rPr>
                <w:rFonts w:eastAsia="方正仿宋_GBK"/>
                <w:sz w:val="21"/>
                <w:szCs w:val="21"/>
              </w:rPr>
            </w:pPr>
            <w:r>
              <w:rPr>
                <w:rFonts w:eastAsia="方正仿宋_GBK"/>
                <w:sz w:val="21"/>
                <w:szCs w:val="21"/>
              </w:rPr>
              <w:t xml:space="preserve">1.供应商法人营业执照（副本）或事业单位法人证书（副本）或个体工商户营业执照或有效的自然人身份证明或社会团体法人登记证书（提供复印件）。 </w:t>
            </w:r>
          </w:p>
          <w:p w14:paraId="0DAA056E">
            <w:pPr>
              <w:rPr>
                <w:rFonts w:eastAsia="方正仿宋_GBK"/>
                <w:sz w:val="21"/>
                <w:szCs w:val="21"/>
              </w:rPr>
            </w:pPr>
            <w:r>
              <w:rPr>
                <w:rFonts w:eastAsia="方正仿宋_GBK"/>
                <w:sz w:val="21"/>
                <w:szCs w:val="21"/>
              </w:rPr>
              <w:t>2.供应商法定代表人身份证明和法定代表人授权代表委托书。</w:t>
            </w:r>
          </w:p>
        </w:tc>
      </w:tr>
      <w:tr w14:paraId="4F46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47955B31">
            <w:pPr>
              <w:jc w:val="center"/>
              <w:rPr>
                <w:rFonts w:eastAsia="方正仿宋_GBK"/>
                <w:sz w:val="21"/>
                <w:szCs w:val="21"/>
              </w:rPr>
            </w:pPr>
          </w:p>
        </w:tc>
        <w:tc>
          <w:tcPr>
            <w:tcW w:w="709" w:type="dxa"/>
            <w:vMerge w:val="continue"/>
            <w:vAlign w:val="center"/>
          </w:tcPr>
          <w:p w14:paraId="47D84476">
            <w:pPr>
              <w:rPr>
                <w:rFonts w:eastAsia="方正仿宋_GBK"/>
                <w:sz w:val="21"/>
                <w:szCs w:val="21"/>
                <w:lang w:val="zh-CN"/>
              </w:rPr>
            </w:pPr>
          </w:p>
        </w:tc>
        <w:tc>
          <w:tcPr>
            <w:tcW w:w="3118" w:type="dxa"/>
            <w:vAlign w:val="center"/>
          </w:tcPr>
          <w:p w14:paraId="4EC73EA7">
            <w:pPr>
              <w:rPr>
                <w:rFonts w:eastAsia="方正仿宋_GBK"/>
                <w:sz w:val="21"/>
                <w:szCs w:val="21"/>
              </w:rPr>
            </w:pPr>
            <w:r>
              <w:rPr>
                <w:rFonts w:eastAsia="方正仿宋_GBK"/>
                <w:sz w:val="21"/>
                <w:szCs w:val="21"/>
                <w:lang w:val="zh-CN"/>
              </w:rPr>
              <w:t>2.</w:t>
            </w:r>
            <w:r>
              <w:rPr>
                <w:rFonts w:eastAsia="方正仿宋_GBK"/>
                <w:sz w:val="21"/>
                <w:szCs w:val="21"/>
              </w:rPr>
              <w:t>具有良好的商业信誉和健全的财务会计制度</w:t>
            </w:r>
          </w:p>
        </w:tc>
        <w:tc>
          <w:tcPr>
            <w:tcW w:w="4984" w:type="dxa"/>
            <w:vMerge w:val="restart"/>
            <w:vAlign w:val="center"/>
          </w:tcPr>
          <w:p w14:paraId="4CBB7A10">
            <w:pPr>
              <w:rPr>
                <w:rFonts w:eastAsia="方正仿宋_GBK"/>
                <w:b/>
                <w:sz w:val="21"/>
                <w:szCs w:val="21"/>
              </w:rPr>
            </w:pPr>
            <w:r>
              <w:rPr>
                <w:rFonts w:eastAsia="方正仿宋_GBK"/>
                <w:sz w:val="21"/>
                <w:szCs w:val="21"/>
              </w:rPr>
              <w:t>供应商提供“基本资格条件承诺函”（格式详见第七篇）</w:t>
            </w:r>
          </w:p>
        </w:tc>
      </w:tr>
      <w:tr w14:paraId="431B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626DF868">
            <w:pPr>
              <w:jc w:val="center"/>
              <w:rPr>
                <w:rFonts w:eastAsia="方正仿宋_GBK"/>
                <w:sz w:val="21"/>
                <w:szCs w:val="21"/>
              </w:rPr>
            </w:pPr>
          </w:p>
        </w:tc>
        <w:tc>
          <w:tcPr>
            <w:tcW w:w="709" w:type="dxa"/>
            <w:vMerge w:val="continue"/>
            <w:vAlign w:val="center"/>
          </w:tcPr>
          <w:p w14:paraId="2FDF9110">
            <w:pPr>
              <w:rPr>
                <w:rFonts w:eastAsia="方正仿宋_GBK"/>
                <w:sz w:val="21"/>
                <w:szCs w:val="21"/>
                <w:lang w:val="zh-CN"/>
              </w:rPr>
            </w:pPr>
          </w:p>
        </w:tc>
        <w:tc>
          <w:tcPr>
            <w:tcW w:w="3118" w:type="dxa"/>
            <w:vAlign w:val="center"/>
          </w:tcPr>
          <w:p w14:paraId="2ECCE024">
            <w:pPr>
              <w:rPr>
                <w:rFonts w:eastAsia="方正仿宋_GBK"/>
                <w:sz w:val="21"/>
                <w:szCs w:val="21"/>
                <w:lang w:val="zh-CN"/>
              </w:rPr>
            </w:pPr>
            <w:r>
              <w:rPr>
                <w:rFonts w:eastAsia="方正仿宋_GBK"/>
                <w:sz w:val="21"/>
                <w:szCs w:val="21"/>
                <w:lang w:val="zh-CN"/>
              </w:rPr>
              <w:t>3.具有履行合同所必需的设备和专业技术能力</w:t>
            </w:r>
          </w:p>
        </w:tc>
        <w:tc>
          <w:tcPr>
            <w:tcW w:w="4984" w:type="dxa"/>
            <w:vMerge w:val="continue"/>
            <w:vAlign w:val="center"/>
          </w:tcPr>
          <w:p w14:paraId="04BF89F1">
            <w:pPr>
              <w:rPr>
                <w:rFonts w:eastAsia="方正仿宋_GBK"/>
                <w:sz w:val="21"/>
                <w:szCs w:val="21"/>
              </w:rPr>
            </w:pPr>
          </w:p>
        </w:tc>
      </w:tr>
      <w:tr w14:paraId="090D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13ED0101">
            <w:pPr>
              <w:jc w:val="center"/>
              <w:rPr>
                <w:rFonts w:eastAsia="方正仿宋_GBK"/>
                <w:sz w:val="21"/>
                <w:szCs w:val="21"/>
              </w:rPr>
            </w:pPr>
          </w:p>
        </w:tc>
        <w:tc>
          <w:tcPr>
            <w:tcW w:w="709" w:type="dxa"/>
            <w:vMerge w:val="continue"/>
            <w:vAlign w:val="center"/>
          </w:tcPr>
          <w:p w14:paraId="064C356B">
            <w:pPr>
              <w:rPr>
                <w:rFonts w:eastAsia="方正仿宋_GBK"/>
                <w:sz w:val="21"/>
                <w:szCs w:val="21"/>
                <w:lang w:val="zh-CN"/>
              </w:rPr>
            </w:pPr>
          </w:p>
        </w:tc>
        <w:tc>
          <w:tcPr>
            <w:tcW w:w="3118" w:type="dxa"/>
            <w:vAlign w:val="center"/>
          </w:tcPr>
          <w:p w14:paraId="34AA0A3C">
            <w:pPr>
              <w:rPr>
                <w:rFonts w:eastAsia="方正仿宋_GBK"/>
                <w:sz w:val="21"/>
                <w:szCs w:val="21"/>
                <w:lang w:val="zh-CN"/>
              </w:rPr>
            </w:pPr>
            <w:r>
              <w:rPr>
                <w:rFonts w:eastAsia="方正仿宋_GBK"/>
                <w:sz w:val="21"/>
                <w:szCs w:val="21"/>
                <w:lang w:val="zh-CN"/>
              </w:rPr>
              <w:t>4.有依法缴纳税收和社会保障金的良好记录</w:t>
            </w:r>
          </w:p>
        </w:tc>
        <w:tc>
          <w:tcPr>
            <w:tcW w:w="4984" w:type="dxa"/>
            <w:vMerge w:val="continue"/>
            <w:vAlign w:val="center"/>
          </w:tcPr>
          <w:p w14:paraId="7A577AC2">
            <w:pPr>
              <w:rPr>
                <w:rFonts w:eastAsia="方正仿宋_GBK"/>
                <w:sz w:val="21"/>
                <w:szCs w:val="21"/>
              </w:rPr>
            </w:pPr>
          </w:p>
        </w:tc>
      </w:tr>
      <w:tr w14:paraId="03B9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5F0D994A">
            <w:pPr>
              <w:jc w:val="center"/>
              <w:rPr>
                <w:rFonts w:eastAsia="方正仿宋_GBK"/>
                <w:sz w:val="21"/>
                <w:szCs w:val="21"/>
              </w:rPr>
            </w:pPr>
          </w:p>
        </w:tc>
        <w:tc>
          <w:tcPr>
            <w:tcW w:w="709" w:type="dxa"/>
            <w:vMerge w:val="continue"/>
            <w:vAlign w:val="center"/>
          </w:tcPr>
          <w:p w14:paraId="27BE86B3">
            <w:pPr>
              <w:rPr>
                <w:rFonts w:eastAsia="方正仿宋_GBK"/>
                <w:sz w:val="21"/>
                <w:szCs w:val="21"/>
                <w:lang w:val="zh-CN"/>
              </w:rPr>
            </w:pPr>
          </w:p>
        </w:tc>
        <w:tc>
          <w:tcPr>
            <w:tcW w:w="3118" w:type="dxa"/>
            <w:vAlign w:val="center"/>
          </w:tcPr>
          <w:p w14:paraId="53423A32">
            <w:pPr>
              <w:rPr>
                <w:rFonts w:eastAsia="方正仿宋_GBK"/>
                <w:sz w:val="21"/>
                <w:szCs w:val="21"/>
                <w:lang w:val="zh-CN"/>
              </w:rPr>
            </w:pPr>
            <w:r>
              <w:rPr>
                <w:rFonts w:eastAsia="方正仿宋_GBK"/>
                <w:sz w:val="21"/>
                <w:szCs w:val="21"/>
              </w:rPr>
              <w:t>5.参加政府采购活动前三年内，在经营活动中没有重大违法记录</w:t>
            </w:r>
          </w:p>
        </w:tc>
        <w:tc>
          <w:tcPr>
            <w:tcW w:w="4984" w:type="dxa"/>
            <w:vMerge w:val="continue"/>
            <w:vAlign w:val="center"/>
          </w:tcPr>
          <w:p w14:paraId="2EBF80B5">
            <w:pPr>
              <w:rPr>
                <w:rFonts w:eastAsia="方正仿宋_GBK"/>
                <w:b/>
                <w:sz w:val="21"/>
                <w:szCs w:val="21"/>
              </w:rPr>
            </w:pPr>
          </w:p>
        </w:tc>
      </w:tr>
      <w:tr w14:paraId="3D00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7C77D987">
            <w:pPr>
              <w:jc w:val="center"/>
              <w:rPr>
                <w:rFonts w:eastAsia="方正仿宋_GBK"/>
                <w:sz w:val="21"/>
                <w:szCs w:val="21"/>
              </w:rPr>
            </w:pPr>
          </w:p>
        </w:tc>
        <w:tc>
          <w:tcPr>
            <w:tcW w:w="709" w:type="dxa"/>
            <w:vMerge w:val="continue"/>
            <w:vAlign w:val="center"/>
          </w:tcPr>
          <w:p w14:paraId="1CE1030F">
            <w:pPr>
              <w:rPr>
                <w:rFonts w:eastAsia="方正仿宋_GBK"/>
                <w:sz w:val="21"/>
                <w:szCs w:val="21"/>
              </w:rPr>
            </w:pPr>
          </w:p>
        </w:tc>
        <w:tc>
          <w:tcPr>
            <w:tcW w:w="3118" w:type="dxa"/>
            <w:vAlign w:val="center"/>
          </w:tcPr>
          <w:p w14:paraId="7F3F2964">
            <w:pPr>
              <w:rPr>
                <w:rFonts w:eastAsia="方正仿宋_GBK"/>
                <w:sz w:val="21"/>
                <w:szCs w:val="21"/>
              </w:rPr>
            </w:pPr>
            <w:r>
              <w:rPr>
                <w:rFonts w:eastAsia="方正仿宋_GBK"/>
                <w:sz w:val="21"/>
                <w:szCs w:val="21"/>
              </w:rPr>
              <w:t>6.法律、行政法规规定的其他条件</w:t>
            </w:r>
          </w:p>
        </w:tc>
        <w:tc>
          <w:tcPr>
            <w:tcW w:w="4984" w:type="dxa"/>
            <w:vAlign w:val="center"/>
          </w:tcPr>
          <w:p w14:paraId="3523E474">
            <w:pPr>
              <w:rPr>
                <w:rFonts w:eastAsia="方正仿宋_GBK"/>
                <w:sz w:val="21"/>
                <w:szCs w:val="21"/>
              </w:rPr>
            </w:pPr>
          </w:p>
        </w:tc>
      </w:tr>
      <w:tr w14:paraId="6030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45B9EA22">
            <w:pPr>
              <w:jc w:val="center"/>
              <w:rPr>
                <w:rFonts w:eastAsia="方正仿宋_GBK"/>
                <w:sz w:val="21"/>
                <w:szCs w:val="21"/>
              </w:rPr>
            </w:pPr>
          </w:p>
        </w:tc>
        <w:tc>
          <w:tcPr>
            <w:tcW w:w="709" w:type="dxa"/>
            <w:vMerge w:val="continue"/>
            <w:vAlign w:val="center"/>
          </w:tcPr>
          <w:p w14:paraId="0857EEF3">
            <w:pPr>
              <w:rPr>
                <w:rFonts w:eastAsia="方正仿宋_GBK"/>
                <w:sz w:val="21"/>
                <w:szCs w:val="21"/>
              </w:rPr>
            </w:pPr>
          </w:p>
        </w:tc>
        <w:tc>
          <w:tcPr>
            <w:tcW w:w="3118" w:type="dxa"/>
            <w:vAlign w:val="center"/>
          </w:tcPr>
          <w:p w14:paraId="30769687">
            <w:pPr>
              <w:rPr>
                <w:rFonts w:eastAsia="方正仿宋_GBK"/>
                <w:sz w:val="21"/>
                <w:szCs w:val="21"/>
              </w:rPr>
            </w:pPr>
            <w:r>
              <w:rPr>
                <w:rFonts w:eastAsia="方正仿宋_GBK"/>
                <w:sz w:val="21"/>
                <w:szCs w:val="21"/>
              </w:rPr>
              <w:t>7.本项目的特定资格要求</w:t>
            </w:r>
          </w:p>
        </w:tc>
        <w:tc>
          <w:tcPr>
            <w:tcW w:w="4984" w:type="dxa"/>
            <w:vAlign w:val="center"/>
          </w:tcPr>
          <w:p w14:paraId="50798000">
            <w:pPr>
              <w:rPr>
                <w:rFonts w:eastAsia="方正仿宋_GBK"/>
                <w:sz w:val="21"/>
                <w:szCs w:val="21"/>
              </w:rPr>
            </w:pPr>
            <w:r>
              <w:rPr>
                <w:rFonts w:eastAsia="方正仿宋_GBK"/>
                <w:sz w:val="21"/>
                <w:szCs w:val="21"/>
              </w:rPr>
              <w:t>按“第一篇三、供应商资格条件（二）本项目的特定资格要求”的要求提交（如果有）。</w:t>
            </w:r>
          </w:p>
        </w:tc>
      </w:tr>
    </w:tbl>
    <w:p w14:paraId="3A077DDF">
      <w:pPr>
        <w:snapToGrid w:val="0"/>
        <w:spacing w:line="400" w:lineRule="exact"/>
        <w:ind w:firstLine="480" w:firstLineChars="200"/>
        <w:rPr>
          <w:rFonts w:eastAsia="方正仿宋_GBK"/>
          <w:kern w:val="0"/>
          <w:sz w:val="24"/>
          <w:szCs w:val="24"/>
        </w:rPr>
      </w:pPr>
      <w:r>
        <w:rPr>
          <w:rFonts w:eastAsia="方正仿宋_GBK"/>
          <w:kern w:val="0"/>
          <w:sz w:val="24"/>
          <w:szCs w:val="24"/>
        </w:rPr>
        <w:t>注：</w:t>
      </w:r>
    </w:p>
    <w:p w14:paraId="4C74B6EB">
      <w:pPr>
        <w:snapToGrid w:val="0"/>
        <w:spacing w:line="400" w:lineRule="exact"/>
        <w:ind w:firstLine="480" w:firstLineChars="200"/>
        <w:rPr>
          <w:rFonts w:eastAsia="方正仿宋_GBK"/>
          <w:kern w:val="0"/>
          <w:sz w:val="24"/>
          <w:szCs w:val="24"/>
        </w:rPr>
      </w:pPr>
      <w:r>
        <w:rPr>
          <w:rFonts w:eastAsia="方正仿宋_GBK"/>
          <w:kern w:val="0"/>
          <w:sz w:val="24"/>
          <w:szCs w:val="24"/>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号）”执行。供应商可于响应文件递交截止时间前通过 “信用中国”网站(www.creditchina.gov.cn)、"中国政府采购网"(www.ccgp.gov.cn)等渠道查询信用记录。</w:t>
      </w:r>
    </w:p>
    <w:p w14:paraId="349A2638">
      <w:pPr>
        <w:snapToGrid w:val="0"/>
        <w:spacing w:line="400" w:lineRule="exact"/>
        <w:ind w:firstLine="480" w:firstLineChars="200"/>
        <w:rPr>
          <w:rFonts w:eastAsia="方正仿宋_GBK"/>
          <w:kern w:val="0"/>
          <w:sz w:val="24"/>
          <w:szCs w:val="24"/>
        </w:rPr>
      </w:pPr>
      <w:r>
        <w:rPr>
          <w:rFonts w:eastAsia="方正仿宋_GBK"/>
          <w:kern w:val="0"/>
          <w:sz w:val="24"/>
          <w:szCs w:val="24"/>
        </w:rPr>
        <w:t>2.符合性审查。依据公开比选文件的规定，从响应文件的有效性、完整性和对公开比选文件的响应程度进行审查，以确定是否对公开比选文件的实质性要求作出响应。符合性审查资料表如下：</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118E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18B90BD0">
            <w:pPr>
              <w:jc w:val="center"/>
              <w:rPr>
                <w:rFonts w:eastAsia="方正仿宋_GBK"/>
                <w:b/>
                <w:kern w:val="0"/>
                <w:sz w:val="21"/>
                <w:szCs w:val="21"/>
              </w:rPr>
            </w:pPr>
            <w:r>
              <w:rPr>
                <w:rFonts w:eastAsia="方正仿宋_GBK"/>
                <w:b/>
                <w:kern w:val="0"/>
                <w:sz w:val="21"/>
                <w:szCs w:val="21"/>
              </w:rPr>
              <w:t>序号</w:t>
            </w:r>
          </w:p>
        </w:tc>
        <w:tc>
          <w:tcPr>
            <w:tcW w:w="3544" w:type="dxa"/>
            <w:gridSpan w:val="2"/>
            <w:vAlign w:val="center"/>
          </w:tcPr>
          <w:p w14:paraId="0E06D965">
            <w:pPr>
              <w:jc w:val="center"/>
              <w:rPr>
                <w:rFonts w:eastAsia="方正仿宋_GBK"/>
                <w:b/>
                <w:kern w:val="0"/>
                <w:sz w:val="21"/>
                <w:szCs w:val="21"/>
              </w:rPr>
            </w:pPr>
            <w:r>
              <w:rPr>
                <w:rFonts w:eastAsia="方正仿宋_GBK"/>
                <w:b/>
                <w:kern w:val="0"/>
                <w:sz w:val="21"/>
                <w:szCs w:val="21"/>
              </w:rPr>
              <w:t>评审因素</w:t>
            </w:r>
          </w:p>
        </w:tc>
        <w:tc>
          <w:tcPr>
            <w:tcW w:w="5409" w:type="dxa"/>
            <w:vAlign w:val="center"/>
          </w:tcPr>
          <w:p w14:paraId="37CEBF53">
            <w:pPr>
              <w:jc w:val="center"/>
              <w:rPr>
                <w:rFonts w:eastAsia="方正仿宋_GBK"/>
                <w:b/>
                <w:kern w:val="0"/>
                <w:sz w:val="21"/>
                <w:szCs w:val="21"/>
              </w:rPr>
            </w:pPr>
            <w:r>
              <w:rPr>
                <w:rFonts w:eastAsia="方正仿宋_GBK"/>
                <w:b/>
                <w:kern w:val="0"/>
                <w:sz w:val="21"/>
                <w:szCs w:val="21"/>
              </w:rPr>
              <w:t>评审标准</w:t>
            </w:r>
          </w:p>
        </w:tc>
      </w:tr>
      <w:tr w14:paraId="1039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2789F53A">
            <w:pPr>
              <w:jc w:val="center"/>
              <w:rPr>
                <w:rFonts w:eastAsia="方正仿宋_GBK"/>
                <w:kern w:val="0"/>
                <w:sz w:val="21"/>
                <w:szCs w:val="21"/>
              </w:rPr>
            </w:pPr>
            <w:r>
              <w:rPr>
                <w:rFonts w:eastAsia="方正仿宋_GBK"/>
                <w:kern w:val="0"/>
                <w:sz w:val="21"/>
                <w:szCs w:val="21"/>
              </w:rPr>
              <w:t>1</w:t>
            </w:r>
          </w:p>
        </w:tc>
        <w:tc>
          <w:tcPr>
            <w:tcW w:w="1560" w:type="dxa"/>
            <w:vMerge w:val="restart"/>
            <w:vAlign w:val="center"/>
          </w:tcPr>
          <w:p w14:paraId="729171FB">
            <w:pPr>
              <w:rPr>
                <w:rFonts w:eastAsia="方正仿宋_GBK"/>
                <w:kern w:val="0"/>
                <w:sz w:val="21"/>
                <w:szCs w:val="21"/>
              </w:rPr>
            </w:pPr>
            <w:r>
              <w:rPr>
                <w:rFonts w:eastAsia="方正仿宋_GBK"/>
                <w:kern w:val="0"/>
                <w:sz w:val="21"/>
                <w:szCs w:val="21"/>
              </w:rPr>
              <w:t>有效性审查</w:t>
            </w:r>
          </w:p>
        </w:tc>
        <w:tc>
          <w:tcPr>
            <w:tcW w:w="1984" w:type="dxa"/>
            <w:vAlign w:val="center"/>
          </w:tcPr>
          <w:p w14:paraId="50CEA810">
            <w:pPr>
              <w:rPr>
                <w:rFonts w:eastAsia="方正仿宋_GBK"/>
                <w:kern w:val="0"/>
                <w:sz w:val="21"/>
                <w:szCs w:val="21"/>
              </w:rPr>
            </w:pPr>
            <w:r>
              <w:rPr>
                <w:rFonts w:eastAsia="方正仿宋_GBK"/>
                <w:sz w:val="21"/>
                <w:szCs w:val="21"/>
              </w:rPr>
              <w:t>响应文件签署或盖章</w:t>
            </w:r>
          </w:p>
        </w:tc>
        <w:tc>
          <w:tcPr>
            <w:tcW w:w="5409" w:type="dxa"/>
            <w:vAlign w:val="center"/>
          </w:tcPr>
          <w:p w14:paraId="23124DA6">
            <w:pPr>
              <w:rPr>
                <w:rFonts w:eastAsia="方正仿宋_GBK"/>
                <w:kern w:val="0"/>
                <w:sz w:val="21"/>
                <w:szCs w:val="21"/>
              </w:rPr>
            </w:pPr>
            <w:r>
              <w:rPr>
                <w:rFonts w:eastAsia="方正仿宋_GBK"/>
                <w:sz w:val="21"/>
                <w:szCs w:val="21"/>
              </w:rPr>
              <w:t>按公开比选文件“第七篇响应文件编制要求”要求签署或盖章。</w:t>
            </w:r>
          </w:p>
        </w:tc>
      </w:tr>
      <w:tr w14:paraId="3712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0CAF3140">
            <w:pPr>
              <w:jc w:val="center"/>
              <w:rPr>
                <w:rFonts w:eastAsia="方正仿宋_GBK"/>
                <w:kern w:val="0"/>
                <w:sz w:val="21"/>
                <w:szCs w:val="21"/>
              </w:rPr>
            </w:pPr>
          </w:p>
        </w:tc>
        <w:tc>
          <w:tcPr>
            <w:tcW w:w="1560" w:type="dxa"/>
            <w:vMerge w:val="continue"/>
            <w:vAlign w:val="center"/>
          </w:tcPr>
          <w:p w14:paraId="38012A15">
            <w:pPr>
              <w:rPr>
                <w:rFonts w:eastAsia="方正仿宋_GBK"/>
                <w:kern w:val="0"/>
                <w:sz w:val="21"/>
                <w:szCs w:val="21"/>
              </w:rPr>
            </w:pPr>
          </w:p>
        </w:tc>
        <w:tc>
          <w:tcPr>
            <w:tcW w:w="1984" w:type="dxa"/>
            <w:vAlign w:val="center"/>
          </w:tcPr>
          <w:p w14:paraId="1FB84C8F">
            <w:pPr>
              <w:rPr>
                <w:rFonts w:eastAsia="方正仿宋_GBK"/>
                <w:sz w:val="21"/>
                <w:szCs w:val="21"/>
              </w:rPr>
            </w:pPr>
            <w:r>
              <w:rPr>
                <w:rFonts w:eastAsia="方正仿宋_GBK"/>
                <w:sz w:val="21"/>
                <w:szCs w:val="21"/>
              </w:rPr>
              <w:t>法定代表人身份证明及授权委托书</w:t>
            </w:r>
          </w:p>
        </w:tc>
        <w:tc>
          <w:tcPr>
            <w:tcW w:w="5409" w:type="dxa"/>
            <w:vAlign w:val="center"/>
          </w:tcPr>
          <w:p w14:paraId="7C5DD71F">
            <w:pPr>
              <w:rPr>
                <w:rFonts w:eastAsia="方正仿宋_GBK"/>
                <w:sz w:val="21"/>
                <w:szCs w:val="21"/>
              </w:rPr>
            </w:pPr>
            <w:r>
              <w:rPr>
                <w:rFonts w:eastAsia="方正仿宋_GBK"/>
                <w:sz w:val="21"/>
                <w:szCs w:val="21"/>
              </w:rPr>
              <w:t>法定代表人身份证明及授权委托书有效，符合公开比选文件规定的格式，签署或盖章齐全。</w:t>
            </w:r>
          </w:p>
        </w:tc>
      </w:tr>
      <w:tr w14:paraId="2FF2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65F2A107">
            <w:pPr>
              <w:jc w:val="center"/>
              <w:rPr>
                <w:rFonts w:eastAsia="方正仿宋_GBK"/>
                <w:kern w:val="0"/>
                <w:sz w:val="21"/>
                <w:szCs w:val="21"/>
              </w:rPr>
            </w:pPr>
          </w:p>
        </w:tc>
        <w:tc>
          <w:tcPr>
            <w:tcW w:w="1560" w:type="dxa"/>
            <w:vMerge w:val="continue"/>
            <w:vAlign w:val="center"/>
          </w:tcPr>
          <w:p w14:paraId="28186C26">
            <w:pPr>
              <w:rPr>
                <w:rFonts w:eastAsia="方正仿宋_GBK"/>
                <w:kern w:val="0"/>
                <w:sz w:val="21"/>
                <w:szCs w:val="21"/>
              </w:rPr>
            </w:pPr>
          </w:p>
        </w:tc>
        <w:tc>
          <w:tcPr>
            <w:tcW w:w="1984" w:type="dxa"/>
            <w:vAlign w:val="center"/>
          </w:tcPr>
          <w:p w14:paraId="4BF9C924">
            <w:pPr>
              <w:rPr>
                <w:rFonts w:eastAsia="方正仿宋_GBK"/>
                <w:sz w:val="21"/>
                <w:szCs w:val="21"/>
                <w:lang w:val="zh-CN"/>
              </w:rPr>
            </w:pPr>
            <w:r>
              <w:rPr>
                <w:rFonts w:eastAsia="方正仿宋_GBK"/>
                <w:sz w:val="21"/>
                <w:szCs w:val="21"/>
              </w:rPr>
              <w:t>响应</w:t>
            </w:r>
            <w:r>
              <w:rPr>
                <w:rFonts w:eastAsia="方正仿宋_GBK"/>
                <w:sz w:val="21"/>
                <w:szCs w:val="21"/>
                <w:lang w:val="zh-CN"/>
              </w:rPr>
              <w:t>方案</w:t>
            </w:r>
          </w:p>
        </w:tc>
        <w:tc>
          <w:tcPr>
            <w:tcW w:w="5409" w:type="dxa"/>
            <w:vAlign w:val="center"/>
          </w:tcPr>
          <w:p w14:paraId="48A65407">
            <w:pPr>
              <w:rPr>
                <w:rFonts w:eastAsia="方正仿宋_GBK"/>
                <w:kern w:val="0"/>
                <w:sz w:val="21"/>
                <w:szCs w:val="21"/>
              </w:rPr>
            </w:pPr>
            <w:r>
              <w:rPr>
                <w:rFonts w:eastAsia="方正仿宋_GBK"/>
                <w:sz w:val="21"/>
                <w:szCs w:val="21"/>
                <w:lang w:val="zh-CN"/>
              </w:rPr>
              <w:t>每个包只能有一个</w:t>
            </w:r>
            <w:r>
              <w:rPr>
                <w:rFonts w:eastAsia="方正仿宋_GBK"/>
                <w:sz w:val="21"/>
                <w:szCs w:val="21"/>
              </w:rPr>
              <w:t>响应</w:t>
            </w:r>
            <w:r>
              <w:rPr>
                <w:rFonts w:eastAsia="方正仿宋_GBK"/>
                <w:sz w:val="21"/>
                <w:szCs w:val="21"/>
                <w:lang w:val="zh-CN"/>
              </w:rPr>
              <w:t>方案。</w:t>
            </w:r>
          </w:p>
        </w:tc>
      </w:tr>
      <w:tr w14:paraId="487A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vAlign w:val="center"/>
          </w:tcPr>
          <w:p w14:paraId="00FC4DE2">
            <w:pPr>
              <w:jc w:val="center"/>
              <w:rPr>
                <w:rFonts w:eastAsia="方正仿宋_GBK"/>
                <w:kern w:val="0"/>
                <w:sz w:val="21"/>
                <w:szCs w:val="21"/>
              </w:rPr>
            </w:pPr>
          </w:p>
        </w:tc>
        <w:tc>
          <w:tcPr>
            <w:tcW w:w="1560" w:type="dxa"/>
            <w:vMerge w:val="continue"/>
            <w:vAlign w:val="center"/>
          </w:tcPr>
          <w:p w14:paraId="6A4482C8">
            <w:pPr>
              <w:rPr>
                <w:rFonts w:eastAsia="方正仿宋_GBK"/>
                <w:kern w:val="0"/>
                <w:sz w:val="21"/>
                <w:szCs w:val="21"/>
              </w:rPr>
            </w:pPr>
          </w:p>
        </w:tc>
        <w:tc>
          <w:tcPr>
            <w:tcW w:w="1984" w:type="dxa"/>
            <w:vAlign w:val="center"/>
          </w:tcPr>
          <w:p w14:paraId="615A2EE3">
            <w:pPr>
              <w:rPr>
                <w:rFonts w:eastAsia="方正仿宋_GBK"/>
                <w:sz w:val="21"/>
                <w:szCs w:val="21"/>
                <w:lang w:val="zh-CN"/>
              </w:rPr>
            </w:pPr>
            <w:r>
              <w:rPr>
                <w:rFonts w:eastAsia="方正仿宋_GBK"/>
                <w:sz w:val="21"/>
                <w:szCs w:val="21"/>
              </w:rPr>
              <w:t>报价唯一</w:t>
            </w:r>
          </w:p>
        </w:tc>
        <w:tc>
          <w:tcPr>
            <w:tcW w:w="5409" w:type="dxa"/>
            <w:vAlign w:val="center"/>
          </w:tcPr>
          <w:p w14:paraId="5BC5A5E9">
            <w:pPr>
              <w:rPr>
                <w:rFonts w:eastAsia="方正仿宋_GBK"/>
                <w:kern w:val="0"/>
                <w:sz w:val="21"/>
                <w:szCs w:val="21"/>
              </w:rPr>
            </w:pPr>
            <w:r>
              <w:rPr>
                <w:rFonts w:eastAsia="方正仿宋_GBK"/>
                <w:sz w:val="21"/>
                <w:szCs w:val="21"/>
              </w:rPr>
              <w:t>只能有一个有效报价，不得提交选择性报价。</w:t>
            </w:r>
          </w:p>
        </w:tc>
      </w:tr>
      <w:tr w14:paraId="5B30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675" w:type="dxa"/>
            <w:vAlign w:val="center"/>
          </w:tcPr>
          <w:p w14:paraId="2948C86C">
            <w:pPr>
              <w:jc w:val="center"/>
              <w:rPr>
                <w:rFonts w:eastAsia="方正仿宋_GBK"/>
                <w:kern w:val="0"/>
                <w:sz w:val="21"/>
                <w:szCs w:val="21"/>
              </w:rPr>
            </w:pPr>
            <w:r>
              <w:rPr>
                <w:rFonts w:eastAsia="方正仿宋_GBK"/>
                <w:kern w:val="0"/>
                <w:sz w:val="21"/>
                <w:szCs w:val="21"/>
              </w:rPr>
              <w:t>2</w:t>
            </w:r>
          </w:p>
        </w:tc>
        <w:tc>
          <w:tcPr>
            <w:tcW w:w="1560" w:type="dxa"/>
            <w:vAlign w:val="center"/>
          </w:tcPr>
          <w:p w14:paraId="683DB0C6">
            <w:pPr>
              <w:rPr>
                <w:rFonts w:eastAsia="方正仿宋_GBK"/>
                <w:kern w:val="0"/>
                <w:sz w:val="21"/>
                <w:szCs w:val="21"/>
              </w:rPr>
            </w:pPr>
            <w:r>
              <w:rPr>
                <w:rFonts w:eastAsia="方正仿宋_GBK"/>
                <w:kern w:val="0"/>
                <w:sz w:val="21"/>
                <w:szCs w:val="21"/>
              </w:rPr>
              <w:t>完整性审查</w:t>
            </w:r>
          </w:p>
        </w:tc>
        <w:tc>
          <w:tcPr>
            <w:tcW w:w="1984" w:type="dxa"/>
            <w:vAlign w:val="center"/>
          </w:tcPr>
          <w:p w14:paraId="21B37818">
            <w:pPr>
              <w:rPr>
                <w:rFonts w:eastAsia="方正仿宋_GBK"/>
                <w:kern w:val="0"/>
                <w:sz w:val="21"/>
                <w:szCs w:val="21"/>
              </w:rPr>
            </w:pPr>
            <w:r>
              <w:rPr>
                <w:rFonts w:eastAsia="方正仿宋_GBK"/>
                <w:sz w:val="21"/>
                <w:szCs w:val="21"/>
              </w:rPr>
              <w:t>响应</w:t>
            </w:r>
            <w:r>
              <w:rPr>
                <w:rFonts w:eastAsia="方正仿宋_GBK"/>
                <w:sz w:val="21"/>
                <w:szCs w:val="21"/>
                <w:lang w:val="zh-CN"/>
              </w:rPr>
              <w:t>文件份数</w:t>
            </w:r>
          </w:p>
        </w:tc>
        <w:tc>
          <w:tcPr>
            <w:tcW w:w="5409" w:type="dxa"/>
            <w:vAlign w:val="center"/>
          </w:tcPr>
          <w:p w14:paraId="7D12F43A">
            <w:pPr>
              <w:rPr>
                <w:rFonts w:eastAsia="方正仿宋_GBK"/>
                <w:kern w:val="0"/>
                <w:sz w:val="21"/>
                <w:szCs w:val="21"/>
              </w:rPr>
            </w:pPr>
            <w:r>
              <w:rPr>
                <w:rFonts w:eastAsia="方正仿宋_GBK"/>
                <w:sz w:val="21"/>
                <w:szCs w:val="21"/>
              </w:rPr>
              <w:t>响应</w:t>
            </w:r>
            <w:r>
              <w:rPr>
                <w:rFonts w:eastAsia="方正仿宋_GBK"/>
                <w:sz w:val="21"/>
                <w:szCs w:val="21"/>
                <w:lang w:val="zh-CN"/>
              </w:rPr>
              <w:t>文件正、副本数量符合</w:t>
            </w:r>
            <w:r>
              <w:rPr>
                <w:rFonts w:eastAsia="方正仿宋_GBK"/>
                <w:sz w:val="21"/>
                <w:szCs w:val="21"/>
              </w:rPr>
              <w:t>公开比选</w:t>
            </w:r>
            <w:r>
              <w:rPr>
                <w:rFonts w:eastAsia="方正仿宋_GBK"/>
                <w:sz w:val="21"/>
                <w:szCs w:val="21"/>
                <w:lang w:val="zh-CN"/>
              </w:rPr>
              <w:t>文件要求。</w:t>
            </w:r>
          </w:p>
        </w:tc>
      </w:tr>
      <w:tr w14:paraId="0566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664D26BB">
            <w:pPr>
              <w:jc w:val="center"/>
              <w:rPr>
                <w:rFonts w:eastAsia="方正仿宋_GBK"/>
                <w:kern w:val="0"/>
                <w:sz w:val="21"/>
                <w:szCs w:val="21"/>
              </w:rPr>
            </w:pPr>
            <w:r>
              <w:rPr>
                <w:rFonts w:eastAsia="方正仿宋_GBK"/>
                <w:kern w:val="0"/>
                <w:sz w:val="21"/>
                <w:szCs w:val="21"/>
              </w:rPr>
              <w:t>3</w:t>
            </w:r>
          </w:p>
        </w:tc>
        <w:tc>
          <w:tcPr>
            <w:tcW w:w="1560" w:type="dxa"/>
            <w:vMerge w:val="restart"/>
            <w:vAlign w:val="center"/>
          </w:tcPr>
          <w:p w14:paraId="38D3CBF8">
            <w:pPr>
              <w:rPr>
                <w:rFonts w:eastAsia="方正仿宋_GBK"/>
                <w:sz w:val="21"/>
                <w:szCs w:val="21"/>
                <w:lang w:val="zh-CN"/>
              </w:rPr>
            </w:pPr>
            <w:r>
              <w:rPr>
                <w:rFonts w:eastAsia="方正仿宋_GBK"/>
                <w:kern w:val="0"/>
                <w:sz w:val="21"/>
                <w:szCs w:val="21"/>
              </w:rPr>
              <w:t>响应程度审查</w:t>
            </w:r>
          </w:p>
        </w:tc>
        <w:tc>
          <w:tcPr>
            <w:tcW w:w="1984" w:type="dxa"/>
            <w:vAlign w:val="center"/>
          </w:tcPr>
          <w:p w14:paraId="3044C27C">
            <w:pPr>
              <w:rPr>
                <w:rFonts w:eastAsia="方正仿宋_GBK"/>
                <w:kern w:val="0"/>
                <w:sz w:val="21"/>
                <w:szCs w:val="21"/>
              </w:rPr>
            </w:pPr>
            <w:r>
              <w:rPr>
                <w:rFonts w:eastAsia="方正仿宋_GBK"/>
                <w:kern w:val="0"/>
                <w:sz w:val="21"/>
                <w:szCs w:val="21"/>
              </w:rPr>
              <w:t>实质性响应</w:t>
            </w:r>
          </w:p>
        </w:tc>
        <w:tc>
          <w:tcPr>
            <w:tcW w:w="5409" w:type="dxa"/>
            <w:vAlign w:val="center"/>
          </w:tcPr>
          <w:p w14:paraId="58E5DD45">
            <w:pPr>
              <w:pStyle w:val="32"/>
              <w:rPr>
                <w:rFonts w:eastAsia="方正仿宋_GBK"/>
                <w:kern w:val="0"/>
                <w:sz w:val="21"/>
                <w:szCs w:val="21"/>
              </w:rPr>
            </w:pPr>
            <w:r>
              <w:rPr>
                <w:rFonts w:eastAsia="方正仿宋_GBK"/>
                <w:kern w:val="0"/>
                <w:sz w:val="21"/>
                <w:szCs w:val="21"/>
              </w:rPr>
              <w:t>公开比选文件第二篇、第三篇“</w:t>
            </w:r>
            <w:r>
              <w:rPr>
                <w:rFonts w:eastAsia="方正仿宋_GBK"/>
                <w:sz w:val="24"/>
                <w:szCs w:val="24"/>
              </w:rPr>
              <w:t>※</w:t>
            </w:r>
            <w:r>
              <w:rPr>
                <w:rFonts w:eastAsia="方正仿宋_GBK"/>
                <w:kern w:val="0"/>
                <w:sz w:val="21"/>
                <w:szCs w:val="21"/>
              </w:rPr>
              <w:t>”标注部分。</w:t>
            </w:r>
          </w:p>
        </w:tc>
      </w:tr>
      <w:tr w14:paraId="03DD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vMerge w:val="continue"/>
            <w:vAlign w:val="center"/>
          </w:tcPr>
          <w:p w14:paraId="4B02E10D">
            <w:pPr>
              <w:jc w:val="center"/>
              <w:rPr>
                <w:rFonts w:eastAsia="方正仿宋_GBK"/>
                <w:kern w:val="0"/>
                <w:sz w:val="21"/>
                <w:szCs w:val="21"/>
              </w:rPr>
            </w:pPr>
          </w:p>
        </w:tc>
        <w:tc>
          <w:tcPr>
            <w:tcW w:w="1560" w:type="dxa"/>
            <w:vMerge w:val="continue"/>
            <w:vAlign w:val="center"/>
          </w:tcPr>
          <w:p w14:paraId="4880909B">
            <w:pPr>
              <w:rPr>
                <w:rFonts w:eastAsia="方正仿宋_GBK"/>
                <w:sz w:val="21"/>
                <w:szCs w:val="21"/>
                <w:lang w:val="zh-CN"/>
              </w:rPr>
            </w:pPr>
          </w:p>
        </w:tc>
        <w:tc>
          <w:tcPr>
            <w:tcW w:w="1984" w:type="dxa"/>
            <w:vAlign w:val="center"/>
          </w:tcPr>
          <w:p w14:paraId="07385ED5">
            <w:pPr>
              <w:rPr>
                <w:rFonts w:eastAsia="方正仿宋_GBK"/>
                <w:kern w:val="0"/>
                <w:sz w:val="21"/>
                <w:szCs w:val="21"/>
              </w:rPr>
            </w:pPr>
            <w:r>
              <w:rPr>
                <w:rFonts w:eastAsia="方正仿宋_GBK"/>
                <w:kern w:val="0"/>
                <w:sz w:val="21"/>
                <w:szCs w:val="21"/>
              </w:rPr>
              <w:t>比选有效期</w:t>
            </w:r>
          </w:p>
        </w:tc>
        <w:tc>
          <w:tcPr>
            <w:tcW w:w="5409" w:type="dxa"/>
            <w:vAlign w:val="center"/>
          </w:tcPr>
          <w:p w14:paraId="189AC0A9">
            <w:pPr>
              <w:rPr>
                <w:rFonts w:eastAsia="方正仿宋_GBK"/>
                <w:kern w:val="0"/>
                <w:sz w:val="21"/>
                <w:szCs w:val="21"/>
              </w:rPr>
            </w:pPr>
            <w:r>
              <w:rPr>
                <w:rFonts w:eastAsia="方正仿宋_GBK"/>
                <w:kern w:val="0"/>
                <w:sz w:val="21"/>
                <w:szCs w:val="21"/>
              </w:rPr>
              <w:t>响应文件及有关承诺文件有效期为提交响应文件截止时间起90天。</w:t>
            </w:r>
          </w:p>
        </w:tc>
      </w:tr>
    </w:tbl>
    <w:p w14:paraId="71ACA1F1">
      <w:pPr>
        <w:spacing w:line="400" w:lineRule="exact"/>
        <w:ind w:firstLine="480" w:firstLineChars="200"/>
        <w:rPr>
          <w:rFonts w:eastAsia="方正仿宋_GBK"/>
          <w:sz w:val="24"/>
          <w:szCs w:val="24"/>
        </w:rPr>
      </w:pPr>
      <w:r>
        <w:rPr>
          <w:rFonts w:eastAsia="方正仿宋_GBK"/>
          <w:sz w:val="24"/>
          <w:szCs w:val="24"/>
        </w:rPr>
        <w:t>（三）澄清有关问题。比选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6CDA087">
      <w:pPr>
        <w:spacing w:line="400" w:lineRule="exact"/>
        <w:ind w:firstLine="480" w:firstLineChars="200"/>
        <w:rPr>
          <w:rFonts w:eastAsia="方正仿宋_GBK"/>
          <w:sz w:val="24"/>
          <w:szCs w:val="24"/>
        </w:rPr>
      </w:pPr>
      <w:r>
        <w:rPr>
          <w:rFonts w:eastAsia="方正仿宋_GBK"/>
          <w:sz w:val="24"/>
          <w:szCs w:val="24"/>
        </w:rPr>
        <w:t>（四）比选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199405D4">
      <w:pPr>
        <w:spacing w:line="400" w:lineRule="exact"/>
        <w:ind w:firstLine="480" w:firstLineChars="200"/>
        <w:rPr>
          <w:rFonts w:eastAsia="方正仿宋_GBK"/>
          <w:sz w:val="24"/>
          <w:szCs w:val="24"/>
        </w:rPr>
      </w:pPr>
      <w:r>
        <w:rPr>
          <w:rFonts w:eastAsia="方正仿宋_GBK"/>
          <w:sz w:val="24"/>
          <w:szCs w:val="24"/>
        </w:rPr>
        <w:t>（</w:t>
      </w:r>
      <w:r>
        <w:rPr>
          <w:rFonts w:hint="eastAsia" w:eastAsia="方正仿宋_GBK"/>
          <w:sz w:val="24"/>
          <w:szCs w:val="24"/>
        </w:rPr>
        <w:t>五</w:t>
      </w:r>
      <w:r>
        <w:rPr>
          <w:rFonts w:eastAsia="方正仿宋_GBK"/>
          <w:sz w:val="24"/>
          <w:szCs w:val="24"/>
        </w:rPr>
        <w:t>）根据《关于推动解决政府采购异常低价问题的通知》（财库〔2026〕2号）精神，采购人将对供应商报价中异常低价情形进行审查，供应商需在30分钟内对响应价格作出解释，提供项目具体成本测算等与报价合理性相关的书面说明及必要的证明材料，包括但不限于原材料成本、人工成本、制造费用等。供应商不能证明其报价合理性的，比选小组应当将其作为无效投标处理。</w:t>
      </w:r>
    </w:p>
    <w:p w14:paraId="5EB064FD">
      <w:pPr>
        <w:spacing w:line="400" w:lineRule="exact"/>
        <w:ind w:firstLine="480" w:firstLineChars="200"/>
        <w:rPr>
          <w:rFonts w:eastAsia="方正仿宋_GBK"/>
          <w:sz w:val="24"/>
          <w:szCs w:val="24"/>
        </w:rPr>
      </w:pPr>
      <w:r>
        <w:rPr>
          <w:rFonts w:eastAsia="方正仿宋_GBK"/>
          <w:sz w:val="24"/>
          <w:szCs w:val="24"/>
        </w:rPr>
        <w:t>评审中出现下列情形之一的，比选小组应当启动异常低价投标审查程序：</w:t>
      </w:r>
    </w:p>
    <w:p w14:paraId="301F28FC">
      <w:pPr>
        <w:spacing w:line="400" w:lineRule="exact"/>
        <w:ind w:firstLine="480" w:firstLineChars="200"/>
        <w:rPr>
          <w:rFonts w:eastAsia="方正仿宋_GBK"/>
          <w:sz w:val="24"/>
          <w:szCs w:val="24"/>
        </w:rPr>
      </w:pPr>
      <w:r>
        <w:rPr>
          <w:rFonts w:eastAsia="方正仿宋_GBK"/>
          <w:sz w:val="24"/>
          <w:szCs w:val="24"/>
        </w:rPr>
        <w:t>1.投标报价低于全部通过符合性审查供应商投标报价平均值50%的，即投标报价&lt;全部通过符合性审查供应商投标报价平均值×50%；</w:t>
      </w:r>
    </w:p>
    <w:p w14:paraId="367414AE">
      <w:pPr>
        <w:spacing w:line="400" w:lineRule="exact"/>
        <w:ind w:firstLine="480" w:firstLineChars="200"/>
        <w:rPr>
          <w:rFonts w:eastAsia="方正仿宋_GBK"/>
          <w:sz w:val="24"/>
          <w:szCs w:val="24"/>
        </w:rPr>
      </w:pPr>
      <w:r>
        <w:rPr>
          <w:rFonts w:eastAsia="方正仿宋_GBK"/>
          <w:sz w:val="24"/>
          <w:szCs w:val="24"/>
        </w:rPr>
        <w:t>2.投标报价低于通过符合性审查的次低报价供应商投标报价50%的，即投标报价&lt;通过符合性审查的次低报价供应商投标报价×50%；</w:t>
      </w:r>
    </w:p>
    <w:p w14:paraId="1E4A157B">
      <w:pPr>
        <w:spacing w:line="400" w:lineRule="exact"/>
        <w:ind w:firstLine="480" w:firstLineChars="200"/>
        <w:rPr>
          <w:rFonts w:eastAsia="方正仿宋_GBK"/>
          <w:sz w:val="24"/>
          <w:szCs w:val="24"/>
        </w:rPr>
      </w:pPr>
      <w:r>
        <w:rPr>
          <w:rFonts w:eastAsia="方正仿宋_GBK"/>
          <w:sz w:val="24"/>
          <w:szCs w:val="24"/>
        </w:rPr>
        <w:t>3.投标报价低于采购项目最高限价45%的，即投标报价&lt;采购项目最高限价×45%；</w:t>
      </w:r>
    </w:p>
    <w:p w14:paraId="1B26C0FD">
      <w:pPr>
        <w:spacing w:line="400" w:lineRule="exact"/>
        <w:ind w:firstLine="480" w:firstLineChars="200"/>
        <w:rPr>
          <w:rFonts w:eastAsia="方正仿宋_GBK"/>
          <w:sz w:val="24"/>
          <w:szCs w:val="24"/>
        </w:rPr>
      </w:pPr>
      <w:r>
        <w:rPr>
          <w:rFonts w:eastAsia="方正仿宋_GBK"/>
          <w:sz w:val="24"/>
          <w:szCs w:val="24"/>
        </w:rPr>
        <w:t>4.比选小组基于专业判断，认为供应商报价过低，有可能影响产品质量或者不能诚信履约的其他情形。</w:t>
      </w:r>
    </w:p>
    <w:p w14:paraId="38C67151">
      <w:pPr>
        <w:spacing w:line="400" w:lineRule="exact"/>
        <w:ind w:firstLine="480" w:firstLineChars="200"/>
        <w:rPr>
          <w:rFonts w:eastAsia="方正仿宋_GBK"/>
          <w:sz w:val="24"/>
          <w:szCs w:val="24"/>
        </w:rPr>
      </w:pPr>
      <w:r>
        <w:rPr>
          <w:rFonts w:eastAsia="方正仿宋_GBK"/>
          <w:sz w:val="24"/>
          <w:szCs w:val="24"/>
        </w:rPr>
        <w:t>比选小组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比选小组应当将其作为无效投标处理。</w:t>
      </w:r>
    </w:p>
    <w:p w14:paraId="2FF60E3D">
      <w:pPr>
        <w:spacing w:line="400" w:lineRule="exact"/>
        <w:ind w:firstLine="480" w:firstLineChars="200"/>
        <w:rPr>
          <w:rFonts w:eastAsia="方正仿宋_GBK"/>
          <w:sz w:val="24"/>
          <w:szCs w:val="24"/>
        </w:rPr>
      </w:pPr>
      <w:r>
        <w:rPr>
          <w:rFonts w:eastAsia="方正仿宋_GBK"/>
          <w:sz w:val="24"/>
          <w:szCs w:val="24"/>
        </w:rPr>
        <w:t>（</w:t>
      </w:r>
      <w:r>
        <w:rPr>
          <w:rFonts w:hint="eastAsia" w:eastAsia="方正仿宋_GBK"/>
          <w:sz w:val="24"/>
          <w:szCs w:val="24"/>
        </w:rPr>
        <w:t>六</w:t>
      </w:r>
      <w:r>
        <w:rPr>
          <w:rFonts w:eastAsia="方正仿宋_GBK"/>
          <w:sz w:val="24"/>
          <w:szCs w:val="24"/>
        </w:rPr>
        <w:t>）</w:t>
      </w:r>
      <w:r>
        <w:rPr>
          <w:rFonts w:hint="eastAsia" w:eastAsia="方正仿宋_GBK"/>
          <w:sz w:val="24"/>
          <w:szCs w:val="24"/>
        </w:rPr>
        <w:t>比选</w:t>
      </w:r>
      <w:r>
        <w:rPr>
          <w:rFonts w:eastAsia="方正仿宋_GBK"/>
          <w:sz w:val="24"/>
          <w:szCs w:val="24"/>
        </w:rPr>
        <w:t>小组采用综合评分法对提交最后报价的供应商的响应文件和最后报价（含有效书面承诺）进行综合评分。综合评分法，是指响应文件满足竞争性磋商文件全部实质性要求且按照评审因素的量化指标评审得分最高的供应商为成交候选供应商的评审方法。供应商总得分为价格、服务、商务等评定因素分别按照相应权重值计算分项得分后相加，满分为100分。</w:t>
      </w:r>
    </w:p>
    <w:p w14:paraId="0D8CFD86">
      <w:pPr>
        <w:pStyle w:val="77"/>
        <w:rPr>
          <w:rFonts w:ascii="Times New Roman" w:hAnsi="Times New Roman" w:cs="Times New Roman"/>
        </w:rPr>
      </w:pPr>
      <w:r>
        <w:rPr>
          <w:rFonts w:hint="eastAsia" w:ascii="Times New Roman" w:hAnsi="Times New Roman" w:cs="Times New Roman"/>
        </w:rPr>
        <w:t>（七）</w:t>
      </w:r>
      <w:r>
        <w:rPr>
          <w:rFonts w:ascii="Times New Roman" w:hAnsi="Times New Roman" w:cs="Times New Roman"/>
        </w:rPr>
        <w:t>比选小组各成员独立对每个有效响应（通过资格性审查、符合性审查的供应商）的文件进行评价、打分，然后汇总每个供应商每项评分因素的得分，并根据综合评分情况按照评审得分由高到低顺序推荐3名以上成交候选供应商，并编写评标结果记录表。</w:t>
      </w:r>
    </w:p>
    <w:p w14:paraId="74E6BC77">
      <w:pPr>
        <w:pStyle w:val="77"/>
        <w:rPr>
          <w:rFonts w:ascii="Times New Roman" w:hAnsi="Times New Roman" w:cs="Times New Roman"/>
        </w:rPr>
      </w:pPr>
      <w:r>
        <w:rPr>
          <w:rFonts w:ascii="Times New Roman" w:hAnsi="Times New Roman" w:cs="Times New Roman"/>
        </w:rPr>
        <w:t>若供应商的评审得分相同的，按照最后报价由低到高的顺序排列推荐。评审得分且最后报价相同的，按照服务指标优劣顺序排列推荐。以上都相同的，按商务条款的优劣顺序排列推荐。</w:t>
      </w:r>
    </w:p>
    <w:p w14:paraId="52D929AD">
      <w:pPr>
        <w:pStyle w:val="77"/>
        <w:rPr>
          <w:rFonts w:ascii="Times New Roman" w:hAnsi="Times New Roman" w:cs="Times New Roman"/>
        </w:rPr>
      </w:pPr>
      <w:r>
        <w:rPr>
          <w:rFonts w:ascii="Times New Roman" w:hAnsi="Times New Roman" w:cs="Times New Roman"/>
        </w:rPr>
        <w:t>（</w:t>
      </w:r>
      <w:r>
        <w:rPr>
          <w:rFonts w:hint="eastAsia" w:ascii="Times New Roman" w:hAnsi="Times New Roman" w:cs="Times New Roman"/>
        </w:rPr>
        <w:t>八</w:t>
      </w:r>
      <w:r>
        <w:rPr>
          <w:rFonts w:ascii="Times New Roman" w:hAnsi="Times New Roman" w:cs="Times New Roman"/>
        </w:rPr>
        <w:t>）成交价格=成交供应商的报价。</w:t>
      </w:r>
    </w:p>
    <w:p w14:paraId="7020A2D8">
      <w:pPr>
        <w:pStyle w:val="3"/>
        <w:adjustRightInd w:val="0"/>
        <w:snapToGrid w:val="0"/>
        <w:spacing w:before="0" w:after="0" w:line="400" w:lineRule="exact"/>
        <w:ind w:firstLine="482" w:firstLineChars="200"/>
        <w:rPr>
          <w:rFonts w:ascii="Times New Roman" w:hAnsi="Times New Roman" w:eastAsia="方正仿宋_GBK"/>
          <w:sz w:val="24"/>
        </w:rPr>
      </w:pPr>
      <w:bookmarkStart w:id="45" w:name="_Toc106030889"/>
      <w:bookmarkStart w:id="46" w:name="_Toc76462334"/>
      <w:r>
        <w:rPr>
          <w:rFonts w:ascii="Times New Roman" w:hAnsi="Times New Roman" w:eastAsia="方正仿宋_GBK"/>
          <w:sz w:val="24"/>
        </w:rPr>
        <w:t>二、</w:t>
      </w:r>
      <w:bookmarkStart w:id="47" w:name="_Toc102227320"/>
      <w:bookmarkStart w:id="48" w:name="_Toc342913394"/>
      <w:r>
        <w:rPr>
          <w:rFonts w:ascii="Times New Roman" w:hAnsi="Times New Roman" w:eastAsia="方正仿宋_GBK"/>
          <w:sz w:val="24"/>
        </w:rPr>
        <w:t>评审标准</w:t>
      </w:r>
      <w:bookmarkEnd w:id="45"/>
      <w:bookmarkEnd w:id="46"/>
    </w:p>
    <w:tbl>
      <w:tblPr>
        <w:tblStyle w:val="57"/>
        <w:tblW w:w="9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064"/>
        <w:gridCol w:w="1077"/>
        <w:gridCol w:w="5373"/>
        <w:gridCol w:w="1685"/>
      </w:tblGrid>
      <w:tr w14:paraId="6162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2F141FDF">
            <w:pPr>
              <w:pStyle w:val="77"/>
              <w:snapToGrid/>
              <w:spacing w:line="240" w:lineRule="auto"/>
              <w:ind w:firstLine="0" w:firstLineChars="0"/>
              <w:jc w:val="center"/>
              <w:rPr>
                <w:rFonts w:hint="eastAsia"/>
                <w:b/>
                <w:bCs/>
                <w:sz w:val="21"/>
                <w:szCs w:val="21"/>
              </w:rPr>
            </w:pPr>
            <w:r>
              <w:rPr>
                <w:rFonts w:hint="eastAsia"/>
                <w:b/>
                <w:bCs/>
                <w:sz w:val="21"/>
                <w:szCs w:val="21"/>
              </w:rPr>
              <w:t>序号</w:t>
            </w:r>
          </w:p>
        </w:tc>
        <w:tc>
          <w:tcPr>
            <w:tcW w:w="1064" w:type="dxa"/>
            <w:vAlign w:val="center"/>
          </w:tcPr>
          <w:p w14:paraId="32177AF7">
            <w:pPr>
              <w:pStyle w:val="77"/>
              <w:snapToGrid/>
              <w:spacing w:line="240" w:lineRule="auto"/>
              <w:ind w:firstLine="0" w:firstLineChars="0"/>
              <w:jc w:val="center"/>
              <w:rPr>
                <w:rFonts w:hint="eastAsia"/>
                <w:b/>
                <w:bCs/>
                <w:sz w:val="21"/>
                <w:szCs w:val="21"/>
              </w:rPr>
            </w:pPr>
            <w:r>
              <w:rPr>
                <w:rFonts w:hint="eastAsia"/>
                <w:b/>
                <w:bCs/>
                <w:sz w:val="21"/>
                <w:szCs w:val="21"/>
              </w:rPr>
              <w:t>评分因素及权值</w:t>
            </w:r>
          </w:p>
        </w:tc>
        <w:tc>
          <w:tcPr>
            <w:tcW w:w="1077" w:type="dxa"/>
            <w:vAlign w:val="center"/>
          </w:tcPr>
          <w:p w14:paraId="49D51E1C">
            <w:pPr>
              <w:pStyle w:val="77"/>
              <w:snapToGrid/>
              <w:spacing w:line="240" w:lineRule="auto"/>
              <w:ind w:firstLine="0" w:firstLineChars="0"/>
              <w:jc w:val="center"/>
              <w:rPr>
                <w:rFonts w:hint="eastAsia"/>
                <w:b/>
                <w:bCs/>
                <w:sz w:val="21"/>
                <w:szCs w:val="21"/>
              </w:rPr>
            </w:pPr>
            <w:r>
              <w:rPr>
                <w:rFonts w:hint="eastAsia"/>
                <w:b/>
                <w:bCs/>
                <w:sz w:val="21"/>
                <w:szCs w:val="21"/>
              </w:rPr>
              <w:t>分值</w:t>
            </w:r>
          </w:p>
        </w:tc>
        <w:tc>
          <w:tcPr>
            <w:tcW w:w="5373" w:type="dxa"/>
            <w:vAlign w:val="center"/>
          </w:tcPr>
          <w:p w14:paraId="0FF103D9">
            <w:pPr>
              <w:pStyle w:val="77"/>
              <w:snapToGrid/>
              <w:spacing w:line="240" w:lineRule="auto"/>
              <w:ind w:firstLine="0" w:firstLineChars="0"/>
              <w:jc w:val="center"/>
              <w:rPr>
                <w:rFonts w:hint="eastAsia"/>
                <w:b/>
                <w:bCs/>
                <w:sz w:val="21"/>
                <w:szCs w:val="21"/>
              </w:rPr>
            </w:pPr>
            <w:r>
              <w:rPr>
                <w:rFonts w:hint="eastAsia"/>
                <w:b/>
                <w:bCs/>
                <w:sz w:val="21"/>
                <w:szCs w:val="21"/>
              </w:rPr>
              <w:t>评分标准</w:t>
            </w:r>
          </w:p>
        </w:tc>
        <w:tc>
          <w:tcPr>
            <w:tcW w:w="1685" w:type="dxa"/>
            <w:vAlign w:val="center"/>
          </w:tcPr>
          <w:p w14:paraId="2C2D4FFC">
            <w:pPr>
              <w:pStyle w:val="77"/>
              <w:snapToGrid/>
              <w:spacing w:line="240" w:lineRule="auto"/>
              <w:ind w:firstLine="0" w:firstLineChars="0"/>
              <w:jc w:val="center"/>
              <w:rPr>
                <w:rFonts w:hint="eastAsia"/>
                <w:b/>
                <w:bCs/>
                <w:sz w:val="21"/>
                <w:szCs w:val="21"/>
              </w:rPr>
            </w:pPr>
            <w:r>
              <w:rPr>
                <w:rFonts w:hint="eastAsia"/>
                <w:b/>
                <w:bCs/>
                <w:sz w:val="21"/>
                <w:szCs w:val="21"/>
              </w:rPr>
              <w:t>说明</w:t>
            </w:r>
          </w:p>
        </w:tc>
      </w:tr>
      <w:tr w14:paraId="64B4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8" w:type="dxa"/>
            <w:vAlign w:val="center"/>
          </w:tcPr>
          <w:p w14:paraId="105FDDEC">
            <w:pPr>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w:t>
            </w:r>
          </w:p>
        </w:tc>
        <w:tc>
          <w:tcPr>
            <w:tcW w:w="1064" w:type="dxa"/>
            <w:vAlign w:val="center"/>
          </w:tcPr>
          <w:p w14:paraId="48D151F8">
            <w:pPr>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报价</w:t>
            </w:r>
          </w:p>
          <w:p w14:paraId="21426984">
            <w:pPr>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w:t>
            </w:r>
            <w:r>
              <w:rPr>
                <w:rFonts w:hint="eastAsia" w:eastAsia="方正仿宋_GBK"/>
                <w:sz w:val="21"/>
                <w:szCs w:val="21"/>
              </w:rPr>
              <w:t>40%</w:t>
            </w:r>
            <w:r>
              <w:rPr>
                <w:rFonts w:hint="eastAsia" w:ascii="方正仿宋_GBK" w:hAnsi="方正仿宋_GBK" w:eastAsia="方正仿宋_GBK" w:cs="方正仿宋_GBK"/>
                <w:sz w:val="21"/>
                <w:szCs w:val="21"/>
              </w:rPr>
              <w:t>）</w:t>
            </w:r>
          </w:p>
        </w:tc>
        <w:tc>
          <w:tcPr>
            <w:tcW w:w="1077" w:type="dxa"/>
            <w:vAlign w:val="center"/>
          </w:tcPr>
          <w:p w14:paraId="0BD6BF4E">
            <w:pPr>
              <w:ind w:firstLine="28"/>
              <w:jc w:val="center"/>
              <w:rPr>
                <w:rFonts w:eastAsia="方正仿宋_GBK"/>
                <w:sz w:val="21"/>
                <w:szCs w:val="21"/>
              </w:rPr>
            </w:pPr>
            <w:r>
              <w:rPr>
                <w:rFonts w:hint="eastAsia" w:eastAsia="方正仿宋_GBK"/>
                <w:sz w:val="21"/>
                <w:szCs w:val="21"/>
              </w:rPr>
              <w:t>40</w:t>
            </w:r>
            <w:r>
              <w:rPr>
                <w:rFonts w:eastAsia="方正仿宋_GBK"/>
                <w:sz w:val="21"/>
                <w:szCs w:val="21"/>
              </w:rPr>
              <w:t>分</w:t>
            </w:r>
          </w:p>
        </w:tc>
        <w:tc>
          <w:tcPr>
            <w:tcW w:w="5373" w:type="dxa"/>
            <w:vAlign w:val="center"/>
          </w:tcPr>
          <w:p w14:paraId="4875B85A">
            <w:pPr>
              <w:rPr>
                <w:rFonts w:eastAsia="方正仿宋_GBK"/>
                <w:sz w:val="21"/>
                <w:szCs w:val="21"/>
              </w:rPr>
            </w:pPr>
            <w:r>
              <w:rPr>
                <w:rFonts w:eastAsia="方正仿宋_GBK"/>
                <w:sz w:val="21"/>
                <w:szCs w:val="21"/>
              </w:rPr>
              <w:t>有效的投标报价中的最低价为评标基准价，其价格分为满分。其他投标人的价格分统一按照下列公式计算：</w:t>
            </w:r>
          </w:p>
          <w:p w14:paraId="672E2431">
            <w:pPr>
              <w:rPr>
                <w:rFonts w:eastAsia="方正仿宋_GBK"/>
                <w:sz w:val="21"/>
                <w:szCs w:val="21"/>
              </w:rPr>
            </w:pPr>
            <w:r>
              <w:rPr>
                <w:rFonts w:eastAsia="方正仿宋_GBK"/>
                <w:sz w:val="21"/>
                <w:szCs w:val="21"/>
              </w:rPr>
              <w:t>投标报价得分＝（评标基准价/投标报价）×价格权重×100。</w:t>
            </w:r>
          </w:p>
        </w:tc>
        <w:tc>
          <w:tcPr>
            <w:tcW w:w="1685" w:type="dxa"/>
            <w:vAlign w:val="center"/>
          </w:tcPr>
          <w:p w14:paraId="702F6149">
            <w:pPr>
              <w:rPr>
                <w:rFonts w:hint="eastAsia" w:ascii="方正仿宋_GBK" w:hAnsi="方正仿宋_GBK" w:eastAsia="方正仿宋_GBK" w:cs="方正仿宋_GBK"/>
                <w:sz w:val="21"/>
                <w:szCs w:val="21"/>
              </w:rPr>
            </w:pPr>
            <w:r>
              <w:rPr>
                <w:rFonts w:hint="eastAsia" w:ascii="仿宋" w:hAnsi="仿宋" w:eastAsia="仿宋" w:cs="仿宋"/>
                <w:sz w:val="21"/>
                <w:szCs w:val="21"/>
              </w:rPr>
              <w:t>得分四舍五入保留两位小数。</w:t>
            </w:r>
          </w:p>
        </w:tc>
      </w:tr>
      <w:tr w14:paraId="16C9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618" w:type="dxa"/>
            <w:vMerge w:val="restart"/>
            <w:vAlign w:val="center"/>
          </w:tcPr>
          <w:p w14:paraId="6E36F05E">
            <w:pPr>
              <w:ind w:firstLine="28"/>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2</w:t>
            </w:r>
          </w:p>
        </w:tc>
        <w:tc>
          <w:tcPr>
            <w:tcW w:w="1064" w:type="dxa"/>
            <w:vMerge w:val="restart"/>
            <w:vAlign w:val="center"/>
          </w:tcPr>
          <w:p w14:paraId="4CB0327F">
            <w:pPr>
              <w:jc w:val="center"/>
              <w:rPr>
                <w:rFonts w:eastAsia="方正仿宋_GBK"/>
                <w:sz w:val="21"/>
                <w:szCs w:val="21"/>
              </w:rPr>
            </w:pPr>
            <w:r>
              <w:rPr>
                <w:rFonts w:hint="eastAsia" w:eastAsia="方正仿宋_GBK"/>
                <w:sz w:val="21"/>
                <w:szCs w:val="21"/>
              </w:rPr>
              <w:t>技术部分</w:t>
            </w:r>
          </w:p>
          <w:p w14:paraId="1E8DFECA">
            <w:pPr>
              <w:jc w:val="center"/>
              <w:rPr>
                <w:rFonts w:eastAsia="方正仿宋_GBK"/>
                <w:sz w:val="21"/>
                <w:szCs w:val="21"/>
              </w:rPr>
            </w:pPr>
            <w:r>
              <w:rPr>
                <w:rFonts w:hint="eastAsia" w:eastAsia="方正仿宋_GBK"/>
                <w:sz w:val="21"/>
                <w:szCs w:val="21"/>
              </w:rPr>
              <w:t>（35%）</w:t>
            </w:r>
          </w:p>
        </w:tc>
        <w:tc>
          <w:tcPr>
            <w:tcW w:w="1077" w:type="dxa"/>
            <w:vAlign w:val="center"/>
          </w:tcPr>
          <w:p w14:paraId="48745E41">
            <w:pPr>
              <w:ind w:firstLine="28"/>
              <w:jc w:val="center"/>
              <w:rPr>
                <w:rFonts w:eastAsia="方正仿宋_GBK"/>
                <w:sz w:val="21"/>
                <w:szCs w:val="21"/>
              </w:rPr>
            </w:pPr>
            <w:r>
              <w:rPr>
                <w:rFonts w:hint="eastAsia" w:ascii="仿宋" w:hAnsi="仿宋" w:eastAsia="仿宋" w:cs="仿宋"/>
                <w:sz w:val="21"/>
                <w:szCs w:val="21"/>
              </w:rPr>
              <w:t>基础平台软件成熟度验证（</w:t>
            </w:r>
            <w:r>
              <w:rPr>
                <w:rFonts w:hint="eastAsia" w:eastAsia="方正仿宋_GBK"/>
                <w:sz w:val="21"/>
                <w:szCs w:val="21"/>
              </w:rPr>
              <w:t>6分</w:t>
            </w:r>
            <w:r>
              <w:rPr>
                <w:rFonts w:hint="eastAsia" w:ascii="仿宋" w:hAnsi="仿宋" w:eastAsia="仿宋" w:cs="仿宋"/>
                <w:sz w:val="21"/>
                <w:szCs w:val="21"/>
              </w:rPr>
              <w:t>）</w:t>
            </w:r>
            <w:r>
              <w:rPr>
                <w:rFonts w:hint="eastAsia" w:eastAsia="方正仿宋_GBK"/>
                <w:sz w:val="21"/>
                <w:szCs w:val="21"/>
              </w:rPr>
              <w:t xml:space="preserve"> </w:t>
            </w:r>
          </w:p>
        </w:tc>
        <w:tc>
          <w:tcPr>
            <w:tcW w:w="5373" w:type="dxa"/>
            <w:vAlign w:val="center"/>
          </w:tcPr>
          <w:p w14:paraId="3350B968">
            <w:pPr>
              <w:pStyle w:val="22"/>
              <w:rPr>
                <w:rFonts w:ascii="Times New Roman" w:eastAsia="方正仿宋_GBK"/>
                <w:sz w:val="21"/>
                <w:szCs w:val="21"/>
              </w:rPr>
            </w:pPr>
            <w:r>
              <w:rPr>
                <w:rFonts w:ascii="Times New Roman" w:eastAsia="方正仿宋_GBK"/>
                <w:sz w:val="21"/>
                <w:szCs w:val="21"/>
              </w:rPr>
              <w:t>本项目要求基于成熟基础平台开展二次开发。投标人须在投标文件中提供所投基础平台软件成品的《产品技术白皮书》或《产品彩页/功能手册》（内容涵盖基础设施监控、应用SLA拨测与日志检索、ITSM工单管理、CMDB资产配置管理等核心基础模块）：</w:t>
            </w:r>
            <w:r>
              <w:rPr>
                <w:rFonts w:ascii="Times New Roman" w:eastAsia="方正仿宋_GBK"/>
                <w:sz w:val="21"/>
                <w:szCs w:val="21"/>
              </w:rPr>
              <w:br w:type="textWrapping"/>
            </w:r>
            <w:r>
              <w:rPr>
                <w:rFonts w:hint="eastAsia" w:ascii="Times New Roman" w:eastAsia="方正仿宋_GBK"/>
                <w:sz w:val="21"/>
                <w:szCs w:val="21"/>
              </w:rPr>
              <w:t>1.</w:t>
            </w:r>
            <w:r>
              <w:rPr>
                <w:rFonts w:ascii="Times New Roman" w:eastAsia="方正仿宋_GBK"/>
                <w:sz w:val="21"/>
                <w:szCs w:val="21"/>
              </w:rPr>
              <w:t>提供的产品技术资料完整清晰，上述核心基础模块功能完备成熟，完全具备二次开发底座条件</w:t>
            </w:r>
            <w:r>
              <w:rPr>
                <w:rFonts w:hint="eastAsia" w:ascii="Times New Roman" w:eastAsia="方正仿宋_GBK"/>
                <w:sz w:val="21"/>
                <w:szCs w:val="21"/>
              </w:rPr>
              <w:t>，得6分；</w:t>
            </w:r>
            <w:r>
              <w:rPr>
                <w:rFonts w:ascii="Times New Roman" w:eastAsia="方正仿宋_GBK"/>
                <w:sz w:val="21"/>
                <w:szCs w:val="21"/>
              </w:rPr>
              <w:br w:type="textWrapping"/>
            </w:r>
            <w:r>
              <w:rPr>
                <w:rFonts w:hint="eastAsia" w:ascii="Times New Roman" w:eastAsia="方正仿宋_GBK"/>
                <w:sz w:val="21"/>
                <w:szCs w:val="21"/>
              </w:rPr>
              <w:t>2.</w:t>
            </w:r>
            <w:r>
              <w:rPr>
                <w:rFonts w:ascii="Times New Roman" w:eastAsia="方正仿宋_GBK"/>
                <w:sz w:val="21"/>
                <w:szCs w:val="21"/>
              </w:rPr>
              <w:t>提供了产品技术资料，但基础功能模块覆盖不全或功能介绍较为简略</w:t>
            </w:r>
            <w:r>
              <w:rPr>
                <w:rFonts w:hint="eastAsia" w:ascii="Times New Roman" w:eastAsia="方正仿宋_GBK"/>
                <w:sz w:val="21"/>
                <w:szCs w:val="21"/>
              </w:rPr>
              <w:t>，得3分；</w:t>
            </w:r>
            <w:r>
              <w:rPr>
                <w:rFonts w:ascii="Times New Roman" w:eastAsia="方正仿宋_GBK"/>
                <w:sz w:val="21"/>
                <w:szCs w:val="21"/>
              </w:rPr>
              <w:br w:type="textWrapping"/>
            </w:r>
            <w:r>
              <w:rPr>
                <w:rFonts w:hint="eastAsia" w:ascii="Times New Roman" w:eastAsia="方正仿宋_GBK"/>
                <w:sz w:val="21"/>
                <w:szCs w:val="21"/>
              </w:rPr>
              <w:t>3.</w:t>
            </w:r>
            <w:r>
              <w:rPr>
                <w:rFonts w:ascii="Times New Roman" w:eastAsia="方正仿宋_GBK"/>
                <w:sz w:val="21"/>
                <w:szCs w:val="21"/>
              </w:rPr>
              <w:t>未提供相关证明材料</w:t>
            </w:r>
            <w:r>
              <w:rPr>
                <w:rFonts w:hint="eastAsia" w:ascii="Times New Roman" w:eastAsia="方正仿宋_GBK"/>
                <w:sz w:val="21"/>
                <w:szCs w:val="21"/>
              </w:rPr>
              <w:t>，不得分</w:t>
            </w:r>
            <w:r>
              <w:rPr>
                <w:rFonts w:ascii="Times New Roman" w:eastAsia="方正仿宋_GBK"/>
                <w:sz w:val="21"/>
                <w:szCs w:val="21"/>
              </w:rPr>
              <w:t>。</w:t>
            </w:r>
          </w:p>
        </w:tc>
        <w:tc>
          <w:tcPr>
            <w:tcW w:w="1685" w:type="dxa"/>
            <w:vAlign w:val="center"/>
          </w:tcPr>
          <w:p w14:paraId="3AE5A3CC">
            <w:pPr>
              <w:rPr>
                <w:rFonts w:eastAsia="方正仿宋_GBK"/>
                <w:sz w:val="21"/>
                <w:szCs w:val="21"/>
              </w:rPr>
            </w:pPr>
          </w:p>
        </w:tc>
      </w:tr>
      <w:tr w14:paraId="2BA6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8" w:type="dxa"/>
            <w:vMerge w:val="continue"/>
            <w:vAlign w:val="center"/>
          </w:tcPr>
          <w:p w14:paraId="4F46A3EA">
            <w:pPr>
              <w:ind w:firstLine="28"/>
              <w:jc w:val="center"/>
              <w:rPr>
                <w:rFonts w:hint="eastAsia" w:ascii="方正仿宋_GBK" w:hAnsi="方正仿宋_GBK" w:eastAsia="方正仿宋_GBK" w:cs="方正仿宋_GBK"/>
                <w:sz w:val="21"/>
                <w:szCs w:val="21"/>
              </w:rPr>
            </w:pPr>
          </w:p>
        </w:tc>
        <w:tc>
          <w:tcPr>
            <w:tcW w:w="1064" w:type="dxa"/>
            <w:vMerge w:val="continue"/>
            <w:vAlign w:val="center"/>
          </w:tcPr>
          <w:p w14:paraId="640B3879">
            <w:pPr>
              <w:ind w:firstLine="28"/>
              <w:jc w:val="center"/>
              <w:rPr>
                <w:rFonts w:hint="eastAsia" w:ascii="方正仿宋_GBK" w:hAnsi="方正仿宋_GBK" w:eastAsia="方正仿宋_GBK" w:cs="方正仿宋_GBK"/>
                <w:sz w:val="21"/>
                <w:szCs w:val="21"/>
              </w:rPr>
            </w:pPr>
          </w:p>
        </w:tc>
        <w:tc>
          <w:tcPr>
            <w:tcW w:w="1077" w:type="dxa"/>
            <w:vAlign w:val="center"/>
          </w:tcPr>
          <w:p w14:paraId="1D826C73">
            <w:pPr>
              <w:jc w:val="center"/>
              <w:rPr>
                <w:rFonts w:hint="eastAsia" w:ascii="仿宋" w:hAnsi="仿宋" w:eastAsia="仿宋" w:cs="仿宋"/>
                <w:sz w:val="21"/>
                <w:szCs w:val="21"/>
              </w:rPr>
            </w:pPr>
            <w:r>
              <w:rPr>
                <w:rFonts w:hint="eastAsia" w:ascii="仿宋" w:hAnsi="仿宋" w:eastAsia="仿宋" w:cs="仿宋"/>
                <w:sz w:val="21"/>
                <w:szCs w:val="21"/>
              </w:rPr>
              <w:t>基于基础平台的二次开发与定制对接方案（</w:t>
            </w:r>
            <w:r>
              <w:rPr>
                <w:rFonts w:hint="eastAsia" w:eastAsia="方正仿宋_GBK"/>
                <w:sz w:val="21"/>
                <w:szCs w:val="21"/>
              </w:rPr>
              <w:t>11</w:t>
            </w:r>
            <w:r>
              <w:rPr>
                <w:rFonts w:hint="eastAsia" w:ascii="仿宋" w:hAnsi="仿宋" w:eastAsia="仿宋" w:cs="仿宋"/>
                <w:sz w:val="21"/>
                <w:szCs w:val="21"/>
              </w:rPr>
              <w:t>分）</w:t>
            </w:r>
          </w:p>
          <w:p w14:paraId="2F87403C">
            <w:pPr>
              <w:jc w:val="center"/>
              <w:rPr>
                <w:rFonts w:eastAsia="方正仿宋_GBK"/>
                <w:sz w:val="21"/>
                <w:szCs w:val="21"/>
              </w:rPr>
            </w:pPr>
          </w:p>
        </w:tc>
        <w:tc>
          <w:tcPr>
            <w:tcW w:w="5373" w:type="dxa"/>
            <w:vAlign w:val="center"/>
          </w:tcPr>
          <w:p w14:paraId="72B80A12">
            <w:pPr>
              <w:widowControl/>
              <w:jc w:val="left"/>
              <w:rPr>
                <w:rFonts w:eastAsia="方正仿宋_GBK"/>
                <w:sz w:val="21"/>
                <w:szCs w:val="21"/>
              </w:rPr>
            </w:pPr>
            <w:r>
              <w:rPr>
                <w:rFonts w:hint="eastAsia" w:eastAsia="方正仿宋_GBK"/>
                <w:sz w:val="21"/>
                <w:szCs w:val="21"/>
              </w:rPr>
              <w:t>投标人须针对本项目医院特定需求，提交基于所投基础平台开展二次开发与集成对接的技术方案，方案须重点包含以下内容：①临床移动端“扫码报修/自助服务台”定制；②医疗IT设备“电子病历”与健康度评分模型开发；③AIOps智能基线告警与根因分析RCA定制；④院内OA/统一认证/企微钉钉/大屏/动环接口对接；⑤等保2.0三级合规适配与6个月日志留存改造：</w:t>
            </w:r>
            <w:r>
              <w:rPr>
                <w:rFonts w:hint="eastAsia" w:eastAsia="方正仿宋_GBK"/>
                <w:sz w:val="21"/>
                <w:szCs w:val="21"/>
              </w:rPr>
              <w:br w:type="textWrapping"/>
            </w:r>
            <w:r>
              <w:rPr>
                <w:rFonts w:hint="eastAsia" w:eastAsia="方正仿宋_GBK"/>
                <w:sz w:val="21"/>
                <w:szCs w:val="21"/>
              </w:rPr>
              <w:t>1.二次开发架构清晰，针对上述全部定制与对接需求设计完整深入、技术实现路径明确，完全贴合医院实际业务场景，得11分；</w:t>
            </w:r>
            <w:r>
              <w:rPr>
                <w:rFonts w:hint="eastAsia" w:eastAsia="方正仿宋_GBK"/>
                <w:sz w:val="21"/>
                <w:szCs w:val="21"/>
              </w:rPr>
              <w:br w:type="textWrapping"/>
            </w:r>
            <w:r>
              <w:rPr>
                <w:rFonts w:hint="eastAsia" w:eastAsia="方正仿宋_GBK"/>
                <w:sz w:val="21"/>
                <w:szCs w:val="21"/>
              </w:rPr>
              <w:t>2.二次开发与系统对接方案较完整，基本覆盖主要定制需求，具备可行性，得7分；</w:t>
            </w:r>
            <w:r>
              <w:rPr>
                <w:rFonts w:hint="eastAsia" w:eastAsia="方正仿宋_GBK"/>
                <w:sz w:val="21"/>
                <w:szCs w:val="21"/>
              </w:rPr>
              <w:br w:type="textWrapping"/>
            </w:r>
            <w:r>
              <w:rPr>
                <w:rFonts w:hint="eastAsia" w:eastAsia="方正仿宋_GBK"/>
                <w:sz w:val="21"/>
                <w:szCs w:val="21"/>
              </w:rPr>
              <w:t>3.二次开发方案简单粗略，仅照搬通用功能描述，缺乏针对性定制设计，得3分；</w:t>
            </w:r>
            <w:r>
              <w:rPr>
                <w:rFonts w:hint="eastAsia" w:eastAsia="方正仿宋_GBK"/>
                <w:sz w:val="21"/>
                <w:szCs w:val="21"/>
              </w:rPr>
              <w:br w:type="textWrapping"/>
            </w:r>
            <w:r>
              <w:rPr>
                <w:rFonts w:hint="eastAsia" w:eastAsia="方正仿宋_GBK"/>
                <w:sz w:val="21"/>
                <w:szCs w:val="21"/>
              </w:rPr>
              <w:t>4.未提供相关技术方案，不得分。</w:t>
            </w:r>
          </w:p>
        </w:tc>
        <w:tc>
          <w:tcPr>
            <w:tcW w:w="1685" w:type="dxa"/>
            <w:vAlign w:val="center"/>
          </w:tcPr>
          <w:p w14:paraId="1967514C">
            <w:pPr>
              <w:rPr>
                <w:rFonts w:eastAsia="方正仿宋_GBK"/>
                <w:sz w:val="21"/>
                <w:szCs w:val="21"/>
              </w:rPr>
            </w:pPr>
          </w:p>
        </w:tc>
      </w:tr>
      <w:tr w14:paraId="1DD4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618" w:type="dxa"/>
            <w:vMerge w:val="continue"/>
            <w:vAlign w:val="center"/>
          </w:tcPr>
          <w:p w14:paraId="30A434F4">
            <w:pPr>
              <w:ind w:firstLine="28"/>
              <w:jc w:val="center"/>
              <w:rPr>
                <w:rFonts w:hint="eastAsia" w:ascii="方正仿宋_GBK" w:hAnsi="方正仿宋_GBK" w:eastAsia="方正仿宋_GBK" w:cs="方正仿宋_GBK"/>
                <w:sz w:val="21"/>
                <w:szCs w:val="21"/>
              </w:rPr>
            </w:pPr>
          </w:p>
        </w:tc>
        <w:tc>
          <w:tcPr>
            <w:tcW w:w="1064" w:type="dxa"/>
            <w:vMerge w:val="continue"/>
            <w:vAlign w:val="center"/>
          </w:tcPr>
          <w:p w14:paraId="269053E0">
            <w:pPr>
              <w:ind w:firstLine="28"/>
              <w:jc w:val="center"/>
              <w:rPr>
                <w:rFonts w:hint="eastAsia" w:ascii="方正仿宋_GBK" w:hAnsi="方正仿宋_GBK" w:eastAsia="方正仿宋_GBK" w:cs="方正仿宋_GBK"/>
                <w:sz w:val="21"/>
                <w:szCs w:val="21"/>
              </w:rPr>
            </w:pPr>
          </w:p>
        </w:tc>
        <w:tc>
          <w:tcPr>
            <w:tcW w:w="1077" w:type="dxa"/>
            <w:vAlign w:val="center"/>
          </w:tcPr>
          <w:p w14:paraId="09EE8D0C">
            <w:pPr>
              <w:jc w:val="center"/>
              <w:rPr>
                <w:rFonts w:eastAsia="方正仿宋_GBK"/>
                <w:sz w:val="21"/>
                <w:szCs w:val="21"/>
              </w:rPr>
            </w:pPr>
            <w:r>
              <w:rPr>
                <w:rFonts w:hint="eastAsia" w:eastAsia="方正仿宋_GBK"/>
                <w:sz w:val="21"/>
                <w:szCs w:val="21"/>
              </w:rPr>
              <w:t>医企联合研发与成果转化“共创方案”（10分）</w:t>
            </w:r>
          </w:p>
        </w:tc>
        <w:tc>
          <w:tcPr>
            <w:tcW w:w="5373" w:type="dxa"/>
            <w:vAlign w:val="center"/>
          </w:tcPr>
          <w:p w14:paraId="1FA5C294">
            <w:pPr>
              <w:widowControl/>
              <w:jc w:val="left"/>
              <w:rPr>
                <w:rFonts w:eastAsia="方正仿宋_GBK"/>
                <w:sz w:val="21"/>
                <w:szCs w:val="21"/>
              </w:rPr>
            </w:pPr>
            <w:r>
              <w:rPr>
                <w:rFonts w:hint="eastAsia" w:eastAsia="方正仿宋_GBK"/>
                <w:sz w:val="21"/>
                <w:szCs w:val="21"/>
              </w:rPr>
              <w:t>投标人须提交与医院信息中心围绕智慧运维方向（如医院AIOps智能算法、设备“电子病历”健康预测模型等）开展医企联合研发与成果转化的共创方案，方案须包含联合申报软著/专利计划、医疗行业课题申报或标准共建规划、研发资源投入及医院知识产权共享机制：</w:t>
            </w:r>
            <w:r>
              <w:rPr>
                <w:rFonts w:hint="eastAsia" w:eastAsia="方正仿宋_GBK"/>
                <w:sz w:val="21"/>
                <w:szCs w:val="21"/>
              </w:rPr>
              <w:br w:type="textWrapping"/>
            </w:r>
            <w:r>
              <w:rPr>
                <w:rFonts w:hint="eastAsia" w:eastAsia="方正仿宋_GBK"/>
                <w:sz w:val="21"/>
                <w:szCs w:val="21"/>
              </w:rPr>
              <w:t>1.共创目标与课题方向明确，软著/专利联合申报及课题攻关有具体可落地的里程碑计划与量化产出承诺，医院知识产权归属保障清晰，得10分；</w:t>
            </w:r>
            <w:r>
              <w:rPr>
                <w:rFonts w:hint="eastAsia" w:eastAsia="方正仿宋_GBK"/>
                <w:sz w:val="21"/>
                <w:szCs w:val="21"/>
              </w:rPr>
              <w:br w:type="textWrapping"/>
            </w:r>
            <w:r>
              <w:rPr>
                <w:rFonts w:hint="eastAsia" w:eastAsia="方正仿宋_GBK"/>
                <w:sz w:val="21"/>
                <w:szCs w:val="21"/>
              </w:rPr>
              <w:t>2.具有明确的医企联合研发与成果转化计划，资源投入与合作机制较为合理，得6分；</w:t>
            </w:r>
            <w:r>
              <w:rPr>
                <w:rFonts w:hint="eastAsia" w:eastAsia="方正仿宋_GBK"/>
                <w:sz w:val="21"/>
                <w:szCs w:val="21"/>
              </w:rPr>
              <w:br w:type="textWrapping"/>
            </w:r>
            <w:r>
              <w:rPr>
                <w:rFonts w:hint="eastAsia" w:eastAsia="方正仿宋_GBK"/>
                <w:sz w:val="21"/>
                <w:szCs w:val="21"/>
              </w:rPr>
              <w:t>3.仅提出初步共创合作意向，缺乏具体转化路径与量化承诺，得2分；</w:t>
            </w:r>
            <w:r>
              <w:rPr>
                <w:rFonts w:hint="eastAsia" w:eastAsia="方正仿宋_GBK"/>
                <w:sz w:val="21"/>
                <w:szCs w:val="21"/>
              </w:rPr>
              <w:br w:type="textWrapping"/>
            </w:r>
            <w:r>
              <w:rPr>
                <w:rFonts w:hint="eastAsia" w:eastAsia="方正仿宋_GBK"/>
                <w:sz w:val="21"/>
                <w:szCs w:val="21"/>
              </w:rPr>
              <w:t>4未提供相关方案材料，不得分。</w:t>
            </w:r>
          </w:p>
        </w:tc>
        <w:tc>
          <w:tcPr>
            <w:tcW w:w="1685" w:type="dxa"/>
            <w:vAlign w:val="center"/>
          </w:tcPr>
          <w:p w14:paraId="35266A9A">
            <w:pPr>
              <w:rPr>
                <w:rFonts w:eastAsia="方正仿宋_GBK"/>
                <w:sz w:val="21"/>
                <w:szCs w:val="21"/>
              </w:rPr>
            </w:pPr>
          </w:p>
        </w:tc>
      </w:tr>
      <w:tr w14:paraId="3817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618" w:type="dxa"/>
            <w:vMerge w:val="continue"/>
            <w:vAlign w:val="center"/>
          </w:tcPr>
          <w:p w14:paraId="79F3C223">
            <w:pPr>
              <w:ind w:firstLine="28"/>
              <w:jc w:val="center"/>
              <w:rPr>
                <w:rFonts w:hint="eastAsia" w:ascii="方正仿宋_GBK" w:hAnsi="方正仿宋_GBK" w:eastAsia="方正仿宋_GBK" w:cs="方正仿宋_GBK"/>
                <w:sz w:val="21"/>
                <w:szCs w:val="21"/>
              </w:rPr>
            </w:pPr>
          </w:p>
        </w:tc>
        <w:tc>
          <w:tcPr>
            <w:tcW w:w="1064" w:type="dxa"/>
            <w:vMerge w:val="continue"/>
            <w:vAlign w:val="center"/>
          </w:tcPr>
          <w:p w14:paraId="176BAD62">
            <w:pPr>
              <w:ind w:firstLine="28"/>
              <w:jc w:val="center"/>
              <w:rPr>
                <w:rFonts w:hint="eastAsia" w:ascii="方正仿宋_GBK" w:hAnsi="方正仿宋_GBK" w:eastAsia="方正仿宋_GBK" w:cs="方正仿宋_GBK"/>
                <w:sz w:val="21"/>
                <w:szCs w:val="21"/>
              </w:rPr>
            </w:pPr>
          </w:p>
        </w:tc>
        <w:tc>
          <w:tcPr>
            <w:tcW w:w="1077" w:type="dxa"/>
            <w:vAlign w:val="center"/>
          </w:tcPr>
          <w:p w14:paraId="18E73509">
            <w:pPr>
              <w:jc w:val="center"/>
              <w:rPr>
                <w:rFonts w:eastAsia="方正仿宋_GBK"/>
                <w:sz w:val="21"/>
                <w:szCs w:val="21"/>
              </w:rPr>
            </w:pPr>
            <w:r>
              <w:rPr>
                <w:rFonts w:hint="eastAsia" w:eastAsia="方正仿宋_GBK"/>
                <w:sz w:val="21"/>
                <w:szCs w:val="21"/>
              </w:rPr>
              <w:t>运维实施团队配置与实施售后方案 （8分）</w:t>
            </w:r>
          </w:p>
        </w:tc>
        <w:tc>
          <w:tcPr>
            <w:tcW w:w="5373" w:type="dxa"/>
            <w:vAlign w:val="center"/>
          </w:tcPr>
          <w:p w14:paraId="78EA6917">
            <w:pPr>
              <w:widowControl/>
              <w:jc w:val="left"/>
              <w:rPr>
                <w:rFonts w:eastAsia="方正仿宋_GBK"/>
                <w:sz w:val="21"/>
                <w:szCs w:val="21"/>
              </w:rPr>
            </w:pPr>
            <w:r>
              <w:rPr>
                <w:rFonts w:hint="eastAsia" w:eastAsia="方正仿宋_GBK"/>
                <w:sz w:val="21"/>
                <w:szCs w:val="21"/>
              </w:rPr>
              <w:t>1.拟派运维与实施团队专业资质：拟派往本项目的团队成员持有ITIL（或ITSS信息技术服务）、网络工程师类（如HCIA/HCIP/HCIE、CCNA/CCNP/CCIE或软考网络工程师）、数据库/系统工程师类（如OCP/OCM、RHCE、国产数据库认证或软考系统/数据库工程师）、信息安全类（如CISP、CISSP、CCRC人员认证）等相关运维与技术资质证书，每提供 1 人有效证书得2分，本小项最高得4分（同一人持多证不重复计分）；</w:t>
            </w:r>
            <w:r>
              <w:rPr>
                <w:rFonts w:hint="eastAsia" w:eastAsia="方正仿宋_GBK"/>
                <w:sz w:val="21"/>
                <w:szCs w:val="21"/>
              </w:rPr>
              <w:br w:type="textWrapping"/>
            </w:r>
            <w:r>
              <w:rPr>
                <w:rFonts w:hint="eastAsia" w:eastAsia="方正仿宋_GBK"/>
                <w:sz w:val="21"/>
                <w:szCs w:val="21"/>
              </w:rPr>
              <w:t>2.项目实施交付与售后运维方案：投标人须针对本项目提交3个月分阶段实施计划（含现状调研、部署、全量设备/应用接入、不少于1个月试运行）、培训移交方案，以及7×24 小时驻场与售后运维响应方案：</w:t>
            </w:r>
            <w:r>
              <w:rPr>
                <w:rFonts w:hint="eastAsia" w:eastAsia="方正仿宋_GBK"/>
                <w:sz w:val="21"/>
                <w:szCs w:val="21"/>
              </w:rPr>
              <w:br w:type="textWrapping"/>
            </w:r>
            <w:r>
              <w:rPr>
                <w:rFonts w:hint="eastAsia" w:eastAsia="方正仿宋_GBK"/>
                <w:sz w:val="21"/>
                <w:szCs w:val="21"/>
              </w:rPr>
              <w:t>（1）3个月实施进度计划清晰合理，培训移交、试运行驻场伴跑及7×24小时故障响应方案完整可行，得4分；</w:t>
            </w:r>
            <w:r>
              <w:rPr>
                <w:rFonts w:hint="eastAsia" w:eastAsia="方正仿宋_GBK"/>
                <w:sz w:val="21"/>
                <w:szCs w:val="21"/>
              </w:rPr>
              <w:br w:type="textWrapping"/>
            </w:r>
            <w:r>
              <w:rPr>
                <w:rFonts w:hint="eastAsia" w:eastAsia="方正仿宋_GBK"/>
                <w:sz w:val="21"/>
                <w:szCs w:val="21"/>
              </w:rPr>
              <w:t>（2）实施与售后运维方案基本满足项目要求，但细节较为简略，得2分；</w:t>
            </w:r>
            <w:r>
              <w:rPr>
                <w:rFonts w:hint="eastAsia" w:eastAsia="方正仿宋_GBK"/>
                <w:sz w:val="21"/>
                <w:szCs w:val="21"/>
              </w:rPr>
              <w:br w:type="textWrapping"/>
            </w:r>
            <w:r>
              <w:rPr>
                <w:rFonts w:hint="eastAsia" w:eastAsia="方正仿宋_GBK"/>
                <w:sz w:val="21"/>
                <w:szCs w:val="21"/>
              </w:rPr>
              <w:t>（3）未提供相关方案材料，不得分。</w:t>
            </w:r>
          </w:p>
        </w:tc>
        <w:tc>
          <w:tcPr>
            <w:tcW w:w="1685" w:type="dxa"/>
            <w:vAlign w:val="center"/>
          </w:tcPr>
          <w:p w14:paraId="53CE9ADB">
            <w:pPr>
              <w:rPr>
                <w:rFonts w:eastAsia="方正仿宋_GBK"/>
                <w:sz w:val="21"/>
                <w:szCs w:val="21"/>
              </w:rPr>
            </w:pPr>
          </w:p>
        </w:tc>
      </w:tr>
      <w:tr w14:paraId="7C83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7" w:hRule="atLeast"/>
          <w:jc w:val="center"/>
        </w:trPr>
        <w:tc>
          <w:tcPr>
            <w:tcW w:w="618" w:type="dxa"/>
            <w:vMerge w:val="restart"/>
            <w:vAlign w:val="center"/>
          </w:tcPr>
          <w:p w14:paraId="7BBC3235">
            <w:pPr>
              <w:ind w:firstLine="28"/>
              <w:jc w:val="center"/>
              <w:rPr>
                <w:rFonts w:hint="eastAsia" w:ascii="方正仿宋_GBK" w:hAnsi="方正仿宋_GBK" w:eastAsia="方正仿宋_GBK" w:cs="方正仿宋_GBK"/>
                <w:sz w:val="21"/>
                <w:szCs w:val="21"/>
              </w:rPr>
            </w:pPr>
            <w:r>
              <w:rPr>
                <w:rFonts w:hint="eastAsia" w:eastAsia="方正仿宋_GBK"/>
                <w:sz w:val="21"/>
                <w:szCs w:val="21"/>
              </w:rPr>
              <w:t>3</w:t>
            </w:r>
          </w:p>
        </w:tc>
        <w:tc>
          <w:tcPr>
            <w:tcW w:w="1064" w:type="dxa"/>
            <w:vMerge w:val="restart"/>
            <w:vAlign w:val="center"/>
          </w:tcPr>
          <w:p w14:paraId="7DDF1C34">
            <w:pPr>
              <w:ind w:firstLine="28"/>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商务部分（</w:t>
            </w:r>
            <w:r>
              <w:rPr>
                <w:rFonts w:hint="eastAsia" w:eastAsia="方正仿宋_GBK"/>
                <w:sz w:val="21"/>
                <w:szCs w:val="21"/>
              </w:rPr>
              <w:t>25%）</w:t>
            </w:r>
          </w:p>
        </w:tc>
        <w:tc>
          <w:tcPr>
            <w:tcW w:w="1077" w:type="dxa"/>
            <w:vAlign w:val="center"/>
          </w:tcPr>
          <w:p w14:paraId="7349E7F4">
            <w:pPr>
              <w:jc w:val="center"/>
              <w:rPr>
                <w:rFonts w:eastAsia="方正仿宋_GBK"/>
                <w:sz w:val="21"/>
                <w:szCs w:val="21"/>
              </w:rPr>
            </w:pPr>
            <w:r>
              <w:rPr>
                <w:rFonts w:hint="eastAsia" w:eastAsia="方正仿宋_GBK"/>
                <w:sz w:val="21"/>
                <w:szCs w:val="21"/>
              </w:rPr>
              <w:t>企业体系与安全资质认证 （8分）</w:t>
            </w:r>
          </w:p>
        </w:tc>
        <w:tc>
          <w:tcPr>
            <w:tcW w:w="5373" w:type="dxa"/>
            <w:vAlign w:val="center"/>
          </w:tcPr>
          <w:p w14:paraId="75547F96">
            <w:pPr>
              <w:jc w:val="left"/>
              <w:rPr>
                <w:rFonts w:eastAsia="方正仿宋_GBK"/>
                <w:sz w:val="21"/>
                <w:szCs w:val="21"/>
              </w:rPr>
            </w:pPr>
            <w:r>
              <w:rPr>
                <w:rFonts w:eastAsia="方正仿宋_GBK"/>
                <w:sz w:val="21"/>
                <w:szCs w:val="21"/>
              </w:rPr>
              <w:t>1.投标人具有中国网络安全审查认证和市场监管大数据中心（CCRC）颁发的有效期内信息安全服务资质认证证书（限定为“信息系统安全运维”、“</w:t>
            </w:r>
            <w:r>
              <w:rPr>
                <w:rFonts w:hint="eastAsia" w:eastAsia="方正仿宋_GBK"/>
                <w:sz w:val="21"/>
                <w:szCs w:val="21"/>
              </w:rPr>
              <w:t>信</w:t>
            </w:r>
            <w:r>
              <w:rPr>
                <w:rFonts w:eastAsia="方正仿宋_GBK"/>
                <w:sz w:val="21"/>
                <w:szCs w:val="21"/>
              </w:rPr>
              <w:t>息系统安全集成”或“软件安全开发”），得 2 分（具备其一即得满分，不累计）；</w:t>
            </w:r>
            <w:r>
              <w:rPr>
                <w:rFonts w:eastAsia="方正仿宋_GBK"/>
                <w:sz w:val="21"/>
                <w:szCs w:val="21"/>
              </w:rPr>
              <w:br w:type="textWrapping"/>
            </w:r>
            <w:r>
              <w:rPr>
                <w:rFonts w:eastAsia="方正仿宋_GBK"/>
                <w:sz w:val="21"/>
                <w:szCs w:val="21"/>
              </w:rPr>
              <w:t>2.投标人具有有效期内的ISO 9001质量管理体系认证证书，得2分；</w:t>
            </w:r>
            <w:r>
              <w:rPr>
                <w:rFonts w:eastAsia="方正仿宋_GBK"/>
                <w:sz w:val="21"/>
                <w:szCs w:val="21"/>
              </w:rPr>
              <w:br w:type="textWrapping"/>
            </w:r>
            <w:r>
              <w:rPr>
                <w:rFonts w:eastAsia="方正仿宋_GBK"/>
                <w:sz w:val="21"/>
                <w:szCs w:val="21"/>
              </w:rPr>
              <w:t>3.投标人具有有效期内的ISO/IEC 20000信息技术服务管理体系认证证书，得2分；</w:t>
            </w:r>
            <w:r>
              <w:rPr>
                <w:rFonts w:eastAsia="方正仿宋_GBK"/>
                <w:sz w:val="21"/>
                <w:szCs w:val="21"/>
              </w:rPr>
              <w:br w:type="textWrapping"/>
            </w:r>
            <w:r>
              <w:rPr>
                <w:rFonts w:eastAsia="方正仿宋_GBK"/>
                <w:sz w:val="21"/>
                <w:szCs w:val="21"/>
              </w:rPr>
              <w:t>4.投标人具有有效期内的ISO/IEC 27001信息安全管理体系认证证书，得2分。</w:t>
            </w:r>
          </w:p>
        </w:tc>
        <w:tc>
          <w:tcPr>
            <w:tcW w:w="1685" w:type="dxa"/>
            <w:vAlign w:val="center"/>
          </w:tcPr>
          <w:p w14:paraId="45AF98C0">
            <w:pPr>
              <w:rPr>
                <w:rFonts w:hint="eastAsia" w:ascii="仿宋" w:hAnsi="仿宋" w:eastAsia="仿宋" w:cs="仿宋"/>
                <w:sz w:val="21"/>
                <w:szCs w:val="21"/>
              </w:rPr>
            </w:pPr>
            <w:r>
              <w:rPr>
                <w:rFonts w:hint="eastAsia" w:ascii="仿宋" w:hAnsi="仿宋" w:eastAsia="仿宋" w:cs="仿宋"/>
                <w:sz w:val="21"/>
                <w:szCs w:val="21"/>
              </w:rPr>
              <w:t>须提供有效期内证书复印件及全国认证认可信息公共服务平台查询截图并加盖公章，否则不得分。</w:t>
            </w:r>
          </w:p>
        </w:tc>
      </w:tr>
      <w:tr w14:paraId="5289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8" w:type="dxa"/>
            <w:vMerge w:val="continue"/>
            <w:vAlign w:val="center"/>
          </w:tcPr>
          <w:p w14:paraId="67CD5AB7">
            <w:pPr>
              <w:ind w:firstLine="28"/>
              <w:jc w:val="center"/>
              <w:rPr>
                <w:rFonts w:eastAsia="方正仿宋_GBK"/>
                <w:sz w:val="21"/>
                <w:szCs w:val="21"/>
              </w:rPr>
            </w:pPr>
            <w:bookmarkStart w:id="49" w:name="_Toc76462335"/>
            <w:bookmarkStart w:id="50" w:name="_Toc106030890"/>
          </w:p>
        </w:tc>
        <w:tc>
          <w:tcPr>
            <w:tcW w:w="1064" w:type="dxa"/>
            <w:vMerge w:val="continue"/>
            <w:vAlign w:val="center"/>
          </w:tcPr>
          <w:p w14:paraId="4C1E1C96">
            <w:pPr>
              <w:ind w:firstLine="28"/>
              <w:jc w:val="center"/>
              <w:rPr>
                <w:rFonts w:hint="eastAsia" w:ascii="方正仿宋_GBK" w:hAnsi="方正仿宋_GBK" w:eastAsia="方正仿宋_GBK" w:cs="方正仿宋_GBK"/>
                <w:sz w:val="21"/>
                <w:szCs w:val="21"/>
              </w:rPr>
            </w:pPr>
          </w:p>
        </w:tc>
        <w:tc>
          <w:tcPr>
            <w:tcW w:w="1077" w:type="dxa"/>
            <w:vAlign w:val="center"/>
          </w:tcPr>
          <w:p w14:paraId="3A3B74DE">
            <w:pPr>
              <w:jc w:val="center"/>
              <w:rPr>
                <w:rFonts w:eastAsia="方正仿宋_GBK"/>
                <w:sz w:val="21"/>
                <w:szCs w:val="21"/>
              </w:rPr>
            </w:pPr>
            <w:r>
              <w:rPr>
                <w:rFonts w:hint="eastAsia" w:eastAsia="方正仿宋_GBK"/>
                <w:sz w:val="21"/>
                <w:szCs w:val="21"/>
              </w:rPr>
              <w:t>既有基础平台相关软件成品著作权</w:t>
            </w:r>
          </w:p>
          <w:p w14:paraId="15FF4257">
            <w:pPr>
              <w:jc w:val="center"/>
              <w:rPr>
                <w:rFonts w:eastAsia="方正仿宋_GBK"/>
                <w:sz w:val="21"/>
                <w:szCs w:val="21"/>
              </w:rPr>
            </w:pPr>
            <w:r>
              <w:rPr>
                <w:rFonts w:hint="eastAsia" w:eastAsia="方正仿宋_GBK"/>
                <w:sz w:val="21"/>
                <w:szCs w:val="21"/>
              </w:rPr>
              <w:t>（5分）</w:t>
            </w:r>
          </w:p>
        </w:tc>
        <w:tc>
          <w:tcPr>
            <w:tcW w:w="5373" w:type="dxa"/>
            <w:vAlign w:val="center"/>
          </w:tcPr>
          <w:p w14:paraId="7CA0C756">
            <w:pPr>
              <w:jc w:val="left"/>
              <w:rPr>
                <w:rFonts w:hint="eastAsia" w:ascii="仿宋" w:hAnsi="仿宋" w:eastAsia="仿宋" w:cs="仿宋"/>
                <w:sz w:val="21"/>
                <w:szCs w:val="21"/>
              </w:rPr>
            </w:pPr>
            <w:r>
              <w:rPr>
                <w:rFonts w:ascii="仿宋" w:hAnsi="仿宋" w:eastAsia="仿宋" w:cs="仿宋"/>
                <w:sz w:val="21"/>
                <w:szCs w:val="21"/>
              </w:rPr>
              <w:t>投标人拥有自主研发的与本项目基础平台相关的既有软件成品（涵盖运维监控、IT服务管理/ITSM/工单、配置管理/CMDB/资产管理、动环监控或日志分析方向）的《计算机软件著作权登记证书》（或软件产品证书），每提供1项得2.5分，本项最高得5分。</w:t>
            </w:r>
          </w:p>
        </w:tc>
        <w:tc>
          <w:tcPr>
            <w:tcW w:w="1685" w:type="dxa"/>
            <w:vAlign w:val="center"/>
          </w:tcPr>
          <w:p w14:paraId="3F0C363D">
            <w:pPr>
              <w:rPr>
                <w:rFonts w:hint="eastAsia" w:ascii="仿宋" w:hAnsi="仿宋" w:eastAsia="仿宋" w:cs="仿宋"/>
                <w:sz w:val="21"/>
                <w:szCs w:val="21"/>
              </w:rPr>
            </w:pPr>
            <w:r>
              <w:rPr>
                <w:rFonts w:ascii="仿宋" w:hAnsi="仿宋" w:eastAsia="仿宋" w:cs="仿宋"/>
                <w:sz w:val="21"/>
                <w:szCs w:val="21"/>
              </w:rPr>
              <w:t>提供国家版权局颁发的软著证书复印件（著作权人须为投标人）并加盖公章</w:t>
            </w:r>
            <w:r>
              <w:rPr>
                <w:rFonts w:hint="eastAsia" w:ascii="仿宋" w:hAnsi="仿宋" w:eastAsia="仿宋" w:cs="仿宋"/>
                <w:sz w:val="21"/>
                <w:szCs w:val="21"/>
              </w:rPr>
              <w:t>。</w:t>
            </w:r>
          </w:p>
        </w:tc>
      </w:tr>
      <w:tr w14:paraId="6972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8" w:type="dxa"/>
            <w:vMerge w:val="continue"/>
            <w:vAlign w:val="center"/>
          </w:tcPr>
          <w:p w14:paraId="025B12E3">
            <w:pPr>
              <w:ind w:firstLine="28"/>
              <w:jc w:val="center"/>
              <w:rPr>
                <w:rFonts w:eastAsia="方正仿宋_GBK"/>
                <w:sz w:val="21"/>
                <w:szCs w:val="21"/>
              </w:rPr>
            </w:pPr>
          </w:p>
        </w:tc>
        <w:tc>
          <w:tcPr>
            <w:tcW w:w="1064" w:type="dxa"/>
            <w:vMerge w:val="continue"/>
            <w:vAlign w:val="center"/>
          </w:tcPr>
          <w:p w14:paraId="7AF032CD">
            <w:pPr>
              <w:ind w:firstLine="28"/>
              <w:jc w:val="center"/>
              <w:rPr>
                <w:rFonts w:hint="eastAsia" w:ascii="方正仿宋_GBK" w:hAnsi="方正仿宋_GBK" w:eastAsia="方正仿宋_GBK" w:cs="方正仿宋_GBK"/>
                <w:sz w:val="21"/>
                <w:szCs w:val="21"/>
              </w:rPr>
            </w:pPr>
          </w:p>
        </w:tc>
        <w:tc>
          <w:tcPr>
            <w:tcW w:w="1077" w:type="dxa"/>
            <w:vAlign w:val="center"/>
          </w:tcPr>
          <w:p w14:paraId="6BD9E659">
            <w:pPr>
              <w:jc w:val="center"/>
              <w:rPr>
                <w:rFonts w:eastAsia="方正仿宋_GBK"/>
                <w:sz w:val="21"/>
                <w:szCs w:val="21"/>
              </w:rPr>
            </w:pPr>
            <w:r>
              <w:rPr>
                <w:rFonts w:hint="eastAsia" w:eastAsia="方正仿宋_GBK"/>
                <w:sz w:val="21"/>
                <w:szCs w:val="21"/>
              </w:rPr>
              <w:t>AI相关软件著作权</w:t>
            </w:r>
            <w:r>
              <w:rPr>
                <w:rFonts w:hint="eastAsia" w:eastAsia="方正仿宋_GBK"/>
                <w:sz w:val="21"/>
                <w:szCs w:val="21"/>
                <w:lang w:val="en-US" w:eastAsia="zh-CN"/>
              </w:rPr>
              <w:t xml:space="preserve">    </w:t>
            </w:r>
            <w:r>
              <w:rPr>
                <w:rFonts w:hint="eastAsia" w:eastAsia="方正仿宋_GBK"/>
                <w:sz w:val="21"/>
                <w:szCs w:val="21"/>
              </w:rPr>
              <w:t>（6分）</w:t>
            </w:r>
          </w:p>
        </w:tc>
        <w:tc>
          <w:tcPr>
            <w:tcW w:w="5373" w:type="dxa"/>
            <w:vAlign w:val="center"/>
          </w:tcPr>
          <w:p w14:paraId="2166C943">
            <w:pPr>
              <w:jc w:val="left"/>
              <w:rPr>
                <w:rFonts w:hint="eastAsia" w:ascii="仿宋" w:hAnsi="仿宋" w:eastAsia="仿宋" w:cs="仿宋"/>
                <w:sz w:val="21"/>
                <w:szCs w:val="21"/>
              </w:rPr>
            </w:pPr>
            <w:r>
              <w:rPr>
                <w:rFonts w:ascii="仿宋" w:hAnsi="仿宋" w:eastAsia="仿宋" w:cs="仿宋"/>
                <w:sz w:val="21"/>
                <w:szCs w:val="21"/>
              </w:rPr>
              <w:t>投标人拥有自主研发的与人工智能（AI）相关的《计算机软件著作权登记证书》，每提供1项得</w:t>
            </w:r>
            <w:r>
              <w:rPr>
                <w:rFonts w:hint="eastAsia" w:ascii="仿宋" w:hAnsi="仿宋" w:eastAsia="仿宋" w:cs="仿宋"/>
                <w:sz w:val="21"/>
                <w:szCs w:val="21"/>
              </w:rPr>
              <w:t>3</w:t>
            </w:r>
            <w:r>
              <w:rPr>
                <w:rFonts w:ascii="仿宋" w:hAnsi="仿宋" w:eastAsia="仿宋" w:cs="仿宋"/>
                <w:sz w:val="21"/>
                <w:szCs w:val="21"/>
              </w:rPr>
              <w:t>分，本小项最高得</w:t>
            </w:r>
            <w:r>
              <w:rPr>
                <w:rFonts w:hint="eastAsia" w:ascii="仿宋" w:hAnsi="仿宋" w:eastAsia="仿宋" w:cs="仿宋"/>
                <w:sz w:val="21"/>
                <w:szCs w:val="21"/>
              </w:rPr>
              <w:t>6</w:t>
            </w:r>
            <w:r>
              <w:rPr>
                <w:rFonts w:ascii="仿宋" w:hAnsi="仿宋" w:eastAsia="仿宋" w:cs="仿宋"/>
                <w:sz w:val="21"/>
                <w:szCs w:val="21"/>
              </w:rPr>
              <w:t>分；</w:t>
            </w:r>
          </w:p>
        </w:tc>
        <w:tc>
          <w:tcPr>
            <w:tcW w:w="1685" w:type="dxa"/>
            <w:vAlign w:val="center"/>
          </w:tcPr>
          <w:p w14:paraId="7F43DC96">
            <w:pPr>
              <w:jc w:val="left"/>
              <w:rPr>
                <w:rFonts w:hint="eastAsia" w:ascii="仿宋" w:hAnsi="仿宋" w:eastAsia="仿宋" w:cs="仿宋"/>
                <w:sz w:val="21"/>
                <w:szCs w:val="21"/>
              </w:rPr>
            </w:pPr>
            <w:r>
              <w:rPr>
                <w:rFonts w:ascii="仿宋" w:hAnsi="仿宋" w:eastAsia="仿宋" w:cs="仿宋"/>
                <w:sz w:val="21"/>
                <w:szCs w:val="21"/>
              </w:rPr>
              <w:t>提供国家版权局颁发的软著证书复印件（著作权人须为投标人）并加盖公章</w:t>
            </w:r>
            <w:r>
              <w:rPr>
                <w:rFonts w:hint="eastAsia" w:ascii="仿宋" w:hAnsi="仿宋" w:eastAsia="仿宋" w:cs="仿宋"/>
                <w:sz w:val="21"/>
                <w:szCs w:val="21"/>
              </w:rPr>
              <w:t>。</w:t>
            </w:r>
          </w:p>
        </w:tc>
      </w:tr>
      <w:tr w14:paraId="02FA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8" w:type="dxa"/>
            <w:vMerge w:val="continue"/>
            <w:vAlign w:val="center"/>
          </w:tcPr>
          <w:p w14:paraId="666A1A82">
            <w:pPr>
              <w:ind w:firstLine="28"/>
              <w:jc w:val="center"/>
              <w:rPr>
                <w:rFonts w:eastAsia="方正仿宋_GBK"/>
                <w:sz w:val="21"/>
                <w:szCs w:val="21"/>
              </w:rPr>
            </w:pPr>
          </w:p>
        </w:tc>
        <w:tc>
          <w:tcPr>
            <w:tcW w:w="1064" w:type="dxa"/>
            <w:vMerge w:val="continue"/>
            <w:vAlign w:val="center"/>
          </w:tcPr>
          <w:p w14:paraId="0F87D72E">
            <w:pPr>
              <w:ind w:firstLine="28"/>
              <w:jc w:val="center"/>
              <w:rPr>
                <w:rFonts w:hint="eastAsia" w:ascii="方正仿宋_GBK" w:hAnsi="方正仿宋_GBK" w:eastAsia="方正仿宋_GBK" w:cs="方正仿宋_GBK"/>
                <w:sz w:val="21"/>
                <w:szCs w:val="21"/>
              </w:rPr>
            </w:pPr>
          </w:p>
        </w:tc>
        <w:tc>
          <w:tcPr>
            <w:tcW w:w="1077" w:type="dxa"/>
            <w:vAlign w:val="center"/>
          </w:tcPr>
          <w:p w14:paraId="6956AD0A">
            <w:pPr>
              <w:jc w:val="center"/>
              <w:rPr>
                <w:rFonts w:eastAsia="方正仿宋_GBK"/>
                <w:sz w:val="21"/>
                <w:szCs w:val="21"/>
              </w:rPr>
            </w:pPr>
            <w:r>
              <w:rPr>
                <w:rFonts w:hint="eastAsia" w:eastAsia="方正仿宋_GBK"/>
                <w:sz w:val="21"/>
                <w:szCs w:val="21"/>
              </w:rPr>
              <w:t>真实医疗IT运维服务经验 （6分）</w:t>
            </w:r>
          </w:p>
        </w:tc>
        <w:tc>
          <w:tcPr>
            <w:tcW w:w="5373" w:type="dxa"/>
            <w:vAlign w:val="center"/>
          </w:tcPr>
          <w:p w14:paraId="3D3954B7">
            <w:pPr>
              <w:jc w:val="left"/>
              <w:rPr>
                <w:rFonts w:hint="eastAsia" w:ascii="仿宋" w:hAnsi="仿宋" w:eastAsia="仿宋" w:cs="仿宋"/>
                <w:sz w:val="21"/>
                <w:szCs w:val="21"/>
              </w:rPr>
            </w:pPr>
            <w:r>
              <w:rPr>
                <w:rFonts w:ascii="仿宋" w:hAnsi="仿宋" w:eastAsia="仿宋" w:cs="仿宋"/>
                <w:sz w:val="21"/>
                <w:szCs w:val="21"/>
              </w:rPr>
              <w:t>投标人具有医院（或医疗卫生机构）真实的IT运维服务经验（合同内容须包含医院IT基础设施运维、医疗信息系统日常运维、机房运维维保或驻场IT运维服务等真实运维服务内容，单纯软件采购或硬件买卖合同不予计分），每提供1份有效合同业绩得3分，本项最高得6分。</w:t>
            </w:r>
          </w:p>
        </w:tc>
        <w:tc>
          <w:tcPr>
            <w:tcW w:w="1685" w:type="dxa"/>
            <w:vAlign w:val="center"/>
          </w:tcPr>
          <w:p w14:paraId="5B73C287">
            <w:pPr>
              <w:jc w:val="left"/>
              <w:rPr>
                <w:rFonts w:hint="eastAsia" w:ascii="仿宋" w:hAnsi="仿宋" w:eastAsia="仿宋" w:cs="仿宋"/>
                <w:sz w:val="21"/>
                <w:szCs w:val="21"/>
              </w:rPr>
            </w:pPr>
            <w:r>
              <w:rPr>
                <w:rFonts w:ascii="仿宋" w:hAnsi="仿宋" w:eastAsia="仿宋" w:cs="仿宋"/>
                <w:sz w:val="21"/>
                <w:szCs w:val="21"/>
              </w:rPr>
              <w:t>须提供</w:t>
            </w:r>
            <w:r>
              <w:rPr>
                <w:rFonts w:hint="eastAsia" w:ascii="仿宋" w:hAnsi="仿宋" w:eastAsia="仿宋" w:cs="仿宋"/>
                <w:sz w:val="21"/>
                <w:szCs w:val="21"/>
              </w:rPr>
              <w:t>近三年业绩</w:t>
            </w:r>
            <w:r>
              <w:rPr>
                <w:rFonts w:ascii="仿宋" w:hAnsi="仿宋" w:eastAsia="仿宋" w:cs="仿宋"/>
                <w:sz w:val="21"/>
                <w:szCs w:val="21"/>
              </w:rPr>
              <w:t>合同关键页（含首页、服务内容页、签字盖章页）复印件</w:t>
            </w:r>
            <w:r>
              <w:rPr>
                <w:rFonts w:hint="eastAsia" w:ascii="仿宋" w:hAnsi="仿宋" w:eastAsia="仿宋" w:cs="仿宋"/>
                <w:sz w:val="21"/>
                <w:szCs w:val="21"/>
              </w:rPr>
              <w:t>及发票，</w:t>
            </w:r>
            <w:r>
              <w:rPr>
                <w:rFonts w:ascii="仿宋" w:hAnsi="仿宋" w:eastAsia="仿宋" w:cs="仿宋"/>
                <w:sz w:val="21"/>
                <w:szCs w:val="21"/>
              </w:rPr>
              <w:t>并加盖公章。</w:t>
            </w:r>
          </w:p>
        </w:tc>
      </w:tr>
    </w:tbl>
    <w:p w14:paraId="60AFECA0">
      <w:pPr>
        <w:pStyle w:val="163"/>
        <w:rPr>
          <w:rFonts w:ascii="Times New Roman" w:hAnsi="Times New Roman"/>
        </w:rPr>
      </w:pPr>
      <w:r>
        <w:rPr>
          <w:rFonts w:ascii="Times New Roman" w:hAnsi="Times New Roman"/>
        </w:rPr>
        <w:t>三、无效响应</w:t>
      </w:r>
      <w:bookmarkEnd w:id="49"/>
      <w:bookmarkEnd w:id="50"/>
    </w:p>
    <w:p w14:paraId="5815AA1D">
      <w:pPr>
        <w:pStyle w:val="77"/>
        <w:rPr>
          <w:rFonts w:ascii="Times New Roman" w:hAnsi="Times New Roman" w:cs="Times New Roman"/>
        </w:rPr>
      </w:pPr>
      <w:r>
        <w:rPr>
          <w:rFonts w:ascii="Times New Roman" w:hAnsi="Times New Roman" w:cs="Times New Roman"/>
        </w:rPr>
        <w:t>供应商发生以下条款情况之一者，视为无效响应，其响应文件将被拒绝：</w:t>
      </w:r>
    </w:p>
    <w:p w14:paraId="522C1245">
      <w:pPr>
        <w:pStyle w:val="77"/>
        <w:spacing w:line="360" w:lineRule="exact"/>
        <w:rPr>
          <w:rFonts w:ascii="Times New Roman" w:hAnsi="Times New Roman" w:cs="Times New Roman"/>
        </w:rPr>
      </w:pPr>
      <w:r>
        <w:rPr>
          <w:rFonts w:ascii="Times New Roman" w:hAnsi="Times New Roman" w:cs="Times New Roman"/>
        </w:rPr>
        <w:t>（一）供应商不符合规定的资格条件的；</w:t>
      </w:r>
    </w:p>
    <w:p w14:paraId="7FC5C4F1">
      <w:pPr>
        <w:pStyle w:val="77"/>
        <w:spacing w:line="360" w:lineRule="exact"/>
        <w:rPr>
          <w:rFonts w:ascii="Times New Roman" w:hAnsi="Times New Roman" w:cs="Times New Roman"/>
        </w:rPr>
      </w:pPr>
      <w:r>
        <w:rPr>
          <w:rFonts w:ascii="Times New Roman" w:hAnsi="Times New Roman" w:cs="Times New Roman"/>
        </w:rPr>
        <w:t>（二）供应商未通过实质性响应审查的；</w:t>
      </w:r>
    </w:p>
    <w:p w14:paraId="6121569F">
      <w:pPr>
        <w:pStyle w:val="77"/>
        <w:spacing w:line="360" w:lineRule="exact"/>
        <w:rPr>
          <w:rFonts w:ascii="Times New Roman" w:hAnsi="Times New Roman" w:cs="Times New Roman"/>
        </w:rPr>
      </w:pPr>
      <w:r>
        <w:rPr>
          <w:rFonts w:ascii="Times New Roman" w:hAnsi="Times New Roman" w:cs="Times New Roman"/>
        </w:rPr>
        <w:t>（三）供应商所提交的响应文件不按“第七篇响应文件编制要求”要求签署或盖章；</w:t>
      </w:r>
    </w:p>
    <w:p w14:paraId="57050261">
      <w:pPr>
        <w:pStyle w:val="77"/>
        <w:spacing w:line="360" w:lineRule="exact"/>
        <w:rPr>
          <w:rFonts w:ascii="Times New Roman" w:hAnsi="Times New Roman" w:cs="Times New Roman"/>
        </w:rPr>
      </w:pPr>
      <w:r>
        <w:rPr>
          <w:rFonts w:ascii="Times New Roman" w:hAnsi="Times New Roman" w:cs="Times New Roman"/>
        </w:rPr>
        <w:t>（四）供应商的最后报价超过采购预算或最高限价的；</w:t>
      </w:r>
    </w:p>
    <w:p w14:paraId="76391D4D">
      <w:pPr>
        <w:pStyle w:val="77"/>
        <w:spacing w:line="360" w:lineRule="exact"/>
        <w:rPr>
          <w:rFonts w:ascii="Times New Roman" w:hAnsi="Times New Roman" w:cs="Times New Roman"/>
        </w:rPr>
      </w:pPr>
      <w:r>
        <w:rPr>
          <w:rFonts w:ascii="Times New Roman" w:hAnsi="Times New Roman" w:cs="Times New Roman"/>
        </w:rPr>
        <w:t>（五）法定代表人为同一个人的两个及两个以上法人，母公司、全资子公司及其控股公司，在同一包采购中同时参与比选；</w:t>
      </w:r>
    </w:p>
    <w:p w14:paraId="0825F98E">
      <w:pPr>
        <w:pStyle w:val="77"/>
        <w:spacing w:line="360" w:lineRule="exact"/>
        <w:rPr>
          <w:rFonts w:ascii="Times New Roman" w:hAnsi="Times New Roman" w:cs="Times New Roman"/>
        </w:rPr>
      </w:pPr>
      <w:r>
        <w:rPr>
          <w:rFonts w:ascii="Times New Roman" w:hAnsi="Times New Roman" w:cs="Times New Roman"/>
        </w:rPr>
        <w:t>（六）单位负责人为同一人或者存在直接控股、管理关系的不同供应商，参加同一合同项下的政府采购活动的；</w:t>
      </w:r>
    </w:p>
    <w:p w14:paraId="33E36353">
      <w:pPr>
        <w:pStyle w:val="77"/>
        <w:spacing w:line="360" w:lineRule="exact"/>
        <w:rPr>
          <w:rFonts w:ascii="Times New Roman" w:hAnsi="Times New Roman" w:cs="Times New Roman"/>
        </w:rPr>
      </w:pPr>
      <w:r>
        <w:rPr>
          <w:rFonts w:ascii="Times New Roman" w:hAnsi="Times New Roman" w:cs="Times New Roman"/>
        </w:rPr>
        <w:t>（七）为采购项目提供整体设计、规范编制或者项目管理、监理、检测等服务的供应商，再参加该采购项目的其他采购活动；</w:t>
      </w:r>
    </w:p>
    <w:p w14:paraId="35663D79">
      <w:pPr>
        <w:pStyle w:val="77"/>
        <w:spacing w:line="360" w:lineRule="exact"/>
        <w:rPr>
          <w:rFonts w:ascii="Times New Roman" w:hAnsi="Times New Roman" w:cs="Times New Roman"/>
        </w:rPr>
      </w:pPr>
      <w:r>
        <w:rPr>
          <w:rFonts w:ascii="Times New Roman" w:hAnsi="Times New Roman" w:cs="Times New Roman"/>
        </w:rPr>
        <w:t>（八）供应商比选有效期不满足公开比选文件要求的；</w:t>
      </w:r>
    </w:p>
    <w:p w14:paraId="2E510806">
      <w:pPr>
        <w:pStyle w:val="77"/>
        <w:spacing w:line="360" w:lineRule="exact"/>
        <w:rPr>
          <w:rFonts w:ascii="Times New Roman" w:hAnsi="Times New Roman" w:cs="Times New Roman"/>
        </w:rPr>
      </w:pPr>
      <w:r>
        <w:rPr>
          <w:rFonts w:ascii="Times New Roman" w:hAnsi="Times New Roman" w:cs="Times New Roman"/>
        </w:rPr>
        <w:t>（九）供应商响应文件内容有与国家现行法律法规相违背的内容，或附有采购人无法接受的条件；</w:t>
      </w:r>
    </w:p>
    <w:p w14:paraId="75ADA970">
      <w:pPr>
        <w:pStyle w:val="77"/>
        <w:rPr>
          <w:rFonts w:ascii="Times New Roman" w:hAnsi="Times New Roman" w:cs="Times New Roman"/>
        </w:rPr>
      </w:pPr>
      <w:r>
        <w:rPr>
          <w:rFonts w:ascii="Times New Roman" w:hAnsi="Times New Roman" w:cs="Times New Roman"/>
        </w:rPr>
        <w:t>（十）法律、法规和公开比选文件规定的其他无效情形。</w:t>
      </w:r>
    </w:p>
    <w:p w14:paraId="224A3708">
      <w:pPr>
        <w:pStyle w:val="3"/>
        <w:adjustRightInd w:val="0"/>
        <w:snapToGrid w:val="0"/>
        <w:spacing w:before="0" w:after="0" w:line="400" w:lineRule="exact"/>
        <w:ind w:firstLine="482" w:firstLineChars="200"/>
        <w:rPr>
          <w:rFonts w:ascii="Times New Roman" w:hAnsi="Times New Roman" w:eastAsia="方正仿宋_GBK"/>
          <w:sz w:val="24"/>
        </w:rPr>
      </w:pPr>
      <w:bookmarkStart w:id="51" w:name="_Toc76462336"/>
      <w:bookmarkStart w:id="52" w:name="_Toc106030891"/>
      <w:r>
        <w:rPr>
          <w:rFonts w:ascii="Times New Roman" w:hAnsi="Times New Roman" w:eastAsia="方正仿宋_GBK"/>
          <w:sz w:val="24"/>
        </w:rPr>
        <w:t>四、</w:t>
      </w:r>
      <w:bookmarkEnd w:id="47"/>
      <w:bookmarkEnd w:id="48"/>
      <w:r>
        <w:rPr>
          <w:rFonts w:ascii="Times New Roman" w:hAnsi="Times New Roman" w:eastAsia="方正仿宋_GBK"/>
          <w:sz w:val="24"/>
        </w:rPr>
        <w:t>采购终止</w:t>
      </w:r>
      <w:bookmarkEnd w:id="51"/>
      <w:bookmarkEnd w:id="52"/>
    </w:p>
    <w:p w14:paraId="142E05CD">
      <w:pPr>
        <w:pStyle w:val="77"/>
        <w:rPr>
          <w:rFonts w:ascii="Times New Roman" w:hAnsi="Times New Roman" w:cs="Times New Roman"/>
        </w:rPr>
      </w:pPr>
      <w:r>
        <w:rPr>
          <w:rFonts w:ascii="Times New Roman" w:hAnsi="Times New Roman" w:cs="Times New Roman"/>
        </w:rPr>
        <w:t>出现下列情形之一的，采购人应当终止公开比选采购活动，发布项目终止公告并说明原因，重新开展采购活动：</w:t>
      </w:r>
    </w:p>
    <w:p w14:paraId="44A13F6C">
      <w:pPr>
        <w:pStyle w:val="77"/>
        <w:rPr>
          <w:rFonts w:ascii="Times New Roman" w:hAnsi="Times New Roman" w:cs="Times New Roman"/>
        </w:rPr>
      </w:pPr>
      <w:r>
        <w:rPr>
          <w:rFonts w:ascii="Times New Roman" w:hAnsi="Times New Roman" w:cs="Times New Roman"/>
        </w:rPr>
        <w:t>（一）因情况变化，不再符合规定的公开比选采购方式适用情形的；</w:t>
      </w:r>
    </w:p>
    <w:p w14:paraId="790AE3AE">
      <w:pPr>
        <w:pStyle w:val="77"/>
        <w:rPr>
          <w:rFonts w:ascii="Times New Roman" w:hAnsi="Times New Roman" w:cs="Times New Roman"/>
        </w:rPr>
      </w:pPr>
      <w:r>
        <w:rPr>
          <w:rFonts w:ascii="Times New Roman" w:hAnsi="Times New Roman" w:cs="Times New Roman"/>
        </w:rPr>
        <w:t>（二）出现影响采购公正的违法、违规行为的；</w:t>
      </w:r>
    </w:p>
    <w:p w14:paraId="31CD750F">
      <w:pPr>
        <w:pStyle w:val="77"/>
        <w:rPr>
          <w:rFonts w:ascii="Times New Roman" w:hAnsi="Times New Roman" w:cs="Times New Roman"/>
        </w:rPr>
      </w:pPr>
      <w:r>
        <w:rPr>
          <w:rFonts w:ascii="Times New Roman" w:hAnsi="Times New Roman" w:cs="Times New Roman"/>
        </w:rPr>
        <w:t>（三）在采购过程中符合要求的供应商或者报价未超过采购预算的供应商不足3家的。</w:t>
      </w:r>
    </w:p>
    <w:p w14:paraId="32109B30">
      <w:pPr>
        <w:pStyle w:val="77"/>
        <w:rPr>
          <w:rFonts w:ascii="Times New Roman" w:hAnsi="Times New Roman" w:cs="Times New Roman"/>
        </w:rPr>
      </w:pPr>
    </w:p>
    <w:p w14:paraId="421E5901">
      <w:pPr>
        <w:pStyle w:val="77"/>
        <w:rPr>
          <w:rFonts w:ascii="Times New Roman" w:hAnsi="Times New Roman" w:cs="Times New Roman"/>
        </w:rPr>
      </w:pPr>
    </w:p>
    <w:p w14:paraId="214949AA">
      <w:pPr>
        <w:pStyle w:val="77"/>
        <w:rPr>
          <w:rFonts w:ascii="Times New Roman" w:hAnsi="Times New Roman" w:cs="Times New Roman"/>
        </w:rPr>
      </w:pPr>
    </w:p>
    <w:p w14:paraId="139BD17B">
      <w:pPr>
        <w:pStyle w:val="77"/>
        <w:rPr>
          <w:rFonts w:ascii="Times New Roman" w:hAnsi="Times New Roman" w:cs="Times New Roman"/>
        </w:rPr>
      </w:pPr>
    </w:p>
    <w:p w14:paraId="5BC0238A">
      <w:pPr>
        <w:pStyle w:val="162"/>
        <w:spacing w:before="0" w:after="0" w:line="240" w:lineRule="auto"/>
        <w:rPr>
          <w:rFonts w:hint="default" w:ascii="Times New Roman" w:hAnsi="Times New Roman"/>
        </w:rPr>
      </w:pPr>
    </w:p>
    <w:p w14:paraId="75204663">
      <w:pPr>
        <w:pStyle w:val="162"/>
        <w:spacing w:before="0" w:after="0" w:line="240" w:lineRule="auto"/>
        <w:rPr>
          <w:rFonts w:hint="default" w:ascii="Times New Roman" w:hAnsi="Times New Roman"/>
        </w:rPr>
      </w:pPr>
      <w:r>
        <w:rPr>
          <w:rFonts w:hint="default" w:ascii="Times New Roman" w:hAnsi="Times New Roman"/>
        </w:rPr>
        <w:t>第五篇  供应商须知</w:t>
      </w:r>
      <w:bookmarkEnd w:id="42"/>
      <w:bookmarkEnd w:id="43"/>
      <w:bookmarkEnd w:id="44"/>
    </w:p>
    <w:p w14:paraId="72393B53">
      <w:pPr>
        <w:pStyle w:val="77"/>
        <w:ind w:firstLine="482"/>
        <w:rPr>
          <w:rFonts w:ascii="Times New Roman" w:hAnsi="Times New Roman" w:cs="Times New Roman"/>
          <w:b/>
          <w:bCs/>
        </w:rPr>
      </w:pPr>
      <w:bookmarkStart w:id="53" w:name="_Toc342913389"/>
      <w:bookmarkStart w:id="54" w:name="_Toc106030893"/>
      <w:bookmarkStart w:id="55" w:name="_Toc76462338"/>
      <w:r>
        <w:rPr>
          <w:rFonts w:ascii="Times New Roman" w:hAnsi="Times New Roman" w:cs="Times New Roman"/>
          <w:b/>
          <w:bCs/>
        </w:rPr>
        <w:t>一、比选费用</w:t>
      </w:r>
      <w:bookmarkEnd w:id="53"/>
      <w:bookmarkEnd w:id="54"/>
      <w:bookmarkEnd w:id="55"/>
    </w:p>
    <w:p w14:paraId="18A5C6A2">
      <w:pPr>
        <w:pStyle w:val="77"/>
        <w:rPr>
          <w:rFonts w:ascii="Times New Roman" w:hAnsi="Times New Roman" w:cs="Times New Roman"/>
        </w:rPr>
      </w:pPr>
      <w:r>
        <w:rPr>
          <w:rFonts w:ascii="Times New Roman" w:hAnsi="Times New Roman" w:cs="Times New Roman"/>
        </w:rPr>
        <w:t>参与比选的供应商应承担其编制响应文件与递交响应文件所涉及的一切费用，不论比选结果如何，采购人在任何情况下无义务也无责任承担这些费用。</w:t>
      </w:r>
    </w:p>
    <w:p w14:paraId="2AC1E27C">
      <w:pPr>
        <w:pStyle w:val="77"/>
        <w:ind w:firstLine="482"/>
        <w:rPr>
          <w:rFonts w:ascii="Times New Roman" w:hAnsi="Times New Roman" w:cs="Times New Roman"/>
          <w:b/>
          <w:bCs/>
        </w:rPr>
      </w:pPr>
      <w:bookmarkStart w:id="56" w:name="_Toc342913391"/>
      <w:bookmarkStart w:id="57" w:name="_Toc76462339"/>
      <w:bookmarkStart w:id="58" w:name="_Toc106030894"/>
      <w:r>
        <w:rPr>
          <w:rFonts w:ascii="Times New Roman" w:hAnsi="Times New Roman" w:cs="Times New Roman"/>
          <w:b/>
          <w:bCs/>
        </w:rPr>
        <w:t>二、公开比选文件</w:t>
      </w:r>
      <w:bookmarkEnd w:id="56"/>
      <w:bookmarkEnd w:id="57"/>
      <w:bookmarkEnd w:id="58"/>
    </w:p>
    <w:p w14:paraId="6B1A7A46">
      <w:pPr>
        <w:pStyle w:val="77"/>
        <w:rPr>
          <w:rFonts w:ascii="Times New Roman" w:hAnsi="Times New Roman" w:cs="Times New Roman"/>
        </w:rPr>
      </w:pPr>
      <w:r>
        <w:rPr>
          <w:rFonts w:ascii="Times New Roman" w:hAnsi="Times New Roman" w:cs="Times New Roman"/>
        </w:rPr>
        <w:t>（一）公开比选文件由采购邀请书、</w:t>
      </w:r>
      <w:r>
        <w:rPr>
          <w:rFonts w:hint="eastAsia" w:ascii="Times New Roman" w:hAnsi="Times New Roman" w:cs="Times New Roman"/>
        </w:rPr>
        <w:t>项目技术、服务需求</w:t>
      </w:r>
      <w:r>
        <w:rPr>
          <w:rFonts w:ascii="Times New Roman" w:hAnsi="Times New Roman" w:cs="Times New Roman"/>
        </w:rPr>
        <w:t>、项目商务需求、比选程序及方法、评审标准、无效响应和采购终止、供应商须知、采购合同、响应文件编制要求七部分组成。</w:t>
      </w:r>
    </w:p>
    <w:p w14:paraId="71D1B75A">
      <w:pPr>
        <w:pStyle w:val="77"/>
        <w:rPr>
          <w:rFonts w:ascii="Times New Roman" w:hAnsi="Times New Roman" w:cs="Times New Roman"/>
        </w:rPr>
      </w:pPr>
      <w:r>
        <w:rPr>
          <w:rFonts w:ascii="Times New Roman" w:hAnsi="Times New Roman" w:cs="Times New Roman"/>
        </w:rPr>
        <w:t>（二）采购人所作的一切有效的书面通知、修改及补充，都是公开比选文件不可分割的部分。</w:t>
      </w:r>
    </w:p>
    <w:p w14:paraId="1573F581">
      <w:pPr>
        <w:pStyle w:val="77"/>
        <w:rPr>
          <w:rFonts w:ascii="Times New Roman" w:hAnsi="Times New Roman" w:cs="Times New Roman"/>
        </w:rPr>
      </w:pPr>
      <w:r>
        <w:rPr>
          <w:rFonts w:ascii="Times New Roman" w:hAnsi="Times New Roman" w:cs="Times New Roman"/>
        </w:rPr>
        <w:t>（三）公开比选文件的解释</w:t>
      </w:r>
    </w:p>
    <w:p w14:paraId="1C9E0871">
      <w:pPr>
        <w:pStyle w:val="77"/>
        <w:rPr>
          <w:rFonts w:ascii="Times New Roman" w:hAnsi="Times New Roman" w:cs="Times New Roman"/>
        </w:rPr>
      </w:pPr>
      <w:r>
        <w:rPr>
          <w:rFonts w:ascii="Times New Roman" w:hAnsi="Times New Roman" w:cs="Times New Roman"/>
        </w:rPr>
        <w:t>供应商如对公开比选文件有疑问，必须以书面形式在提交响应文件截止时间3个工作日前向采购人要求澄清，采购人可视具体情况做出处理或答复。如供应商未提出疑问，视为完全理解并同意本公开比选文件。一经进入比选程序，即视为供应商已详细阅读全部文件资料，完全理解公开比选文件所有条款内容并同意放弃对这方面有不明白及误解的权利。</w:t>
      </w:r>
      <w:bookmarkStart w:id="59" w:name="_Toc318166429"/>
      <w:bookmarkStart w:id="60" w:name="_Toc318159160"/>
      <w:bookmarkStart w:id="61" w:name="_Toc318159780"/>
      <w:bookmarkStart w:id="62" w:name="_Toc318159349"/>
    </w:p>
    <w:p w14:paraId="75B6A1D4">
      <w:pPr>
        <w:pStyle w:val="77"/>
        <w:rPr>
          <w:rFonts w:ascii="Times New Roman" w:hAnsi="Times New Roman" w:cs="Times New Roman"/>
        </w:rPr>
      </w:pPr>
      <w:r>
        <w:rPr>
          <w:rFonts w:ascii="Times New Roman" w:hAnsi="Times New Roman" w:cs="Times New Roman"/>
        </w:rPr>
        <w:t>（</w:t>
      </w:r>
      <w:r>
        <w:rPr>
          <w:rFonts w:hint="eastAsia" w:ascii="Times New Roman" w:hAnsi="Times New Roman" w:cs="Times New Roman"/>
        </w:rPr>
        <w:t>四</w:t>
      </w:r>
      <w:r>
        <w:rPr>
          <w:rFonts w:ascii="Times New Roman" w:hAnsi="Times New Roman" w:cs="Times New Roman"/>
        </w:rPr>
        <w:t>）评审的依据为公开比选文件和响应文件（含有效的书面承诺）。</w:t>
      </w:r>
      <w:r>
        <w:rPr>
          <w:rFonts w:hint="eastAsia" w:ascii="Times New Roman" w:hAnsi="Times New Roman" w:cs="Times New Roman"/>
        </w:rPr>
        <w:t>评审小组</w:t>
      </w:r>
      <w:r>
        <w:rPr>
          <w:rFonts w:ascii="Times New Roman" w:hAnsi="Times New Roman" w:cs="Times New Roman"/>
        </w:rPr>
        <w:t>判断响应文件对公开比选文件的响应，仅基于响应文件本身而不靠外部证据。</w:t>
      </w:r>
    </w:p>
    <w:bookmarkEnd w:id="59"/>
    <w:bookmarkEnd w:id="60"/>
    <w:bookmarkEnd w:id="61"/>
    <w:bookmarkEnd w:id="62"/>
    <w:p w14:paraId="7A6B267E">
      <w:pPr>
        <w:pStyle w:val="77"/>
        <w:ind w:firstLine="482"/>
        <w:rPr>
          <w:rFonts w:ascii="Times New Roman" w:hAnsi="Times New Roman" w:cs="Times New Roman"/>
          <w:b/>
          <w:bCs/>
        </w:rPr>
      </w:pPr>
      <w:bookmarkStart w:id="63" w:name="_Toc179714297"/>
      <w:bookmarkStart w:id="64" w:name="_Toc342913392"/>
      <w:bookmarkStart w:id="65" w:name="_Toc102227318"/>
      <w:bookmarkStart w:id="66" w:name="_Toc76462340"/>
      <w:bookmarkStart w:id="67" w:name="_Toc106030895"/>
      <w:r>
        <w:rPr>
          <w:rFonts w:ascii="Times New Roman" w:hAnsi="Times New Roman" w:cs="Times New Roman"/>
          <w:b/>
          <w:bCs/>
        </w:rPr>
        <w:t>三、比选要求</w:t>
      </w:r>
      <w:bookmarkEnd w:id="63"/>
      <w:bookmarkEnd w:id="64"/>
      <w:bookmarkEnd w:id="65"/>
      <w:bookmarkEnd w:id="66"/>
      <w:bookmarkEnd w:id="67"/>
    </w:p>
    <w:p w14:paraId="7BB09FF0">
      <w:pPr>
        <w:pStyle w:val="77"/>
        <w:rPr>
          <w:rFonts w:ascii="Times New Roman" w:hAnsi="Times New Roman" w:cs="Times New Roman"/>
        </w:rPr>
      </w:pPr>
      <w:r>
        <w:rPr>
          <w:rFonts w:ascii="Times New Roman" w:hAnsi="Times New Roman" w:cs="Times New Roman"/>
        </w:rPr>
        <w:t>（一）响应文件</w:t>
      </w:r>
    </w:p>
    <w:p w14:paraId="41F4B73E">
      <w:pPr>
        <w:pStyle w:val="77"/>
        <w:rPr>
          <w:rFonts w:ascii="Times New Roman" w:hAnsi="Times New Roman" w:cs="Times New Roman"/>
        </w:rPr>
      </w:pPr>
      <w:r>
        <w:rPr>
          <w:rFonts w:ascii="Times New Roman" w:hAnsi="Times New Roman" w:cs="Times New Roman"/>
        </w:rPr>
        <w:t>1.供应商应当按照公开比选文件的要求编制响应文件，并对公开比选文件提出的要求和条件作出实质性响应，响应文件原则上采用软面订本，同时应编制完整的页码、目录。</w:t>
      </w:r>
    </w:p>
    <w:p w14:paraId="6426A581">
      <w:pPr>
        <w:pStyle w:val="77"/>
        <w:rPr>
          <w:rFonts w:ascii="Times New Roman" w:hAnsi="Times New Roman" w:cs="Times New Roman"/>
        </w:rPr>
      </w:pPr>
      <w:r>
        <w:rPr>
          <w:rFonts w:ascii="Times New Roman" w:hAnsi="Times New Roman" w:cs="Times New Roman"/>
        </w:rPr>
        <w:t>2.响应文件组成</w:t>
      </w:r>
    </w:p>
    <w:p w14:paraId="39A839DA">
      <w:pPr>
        <w:pStyle w:val="77"/>
        <w:rPr>
          <w:rFonts w:ascii="Times New Roman" w:hAnsi="Times New Roman" w:cs="Times New Roman"/>
        </w:rPr>
      </w:pPr>
      <w:r>
        <w:rPr>
          <w:rFonts w:ascii="Times New Roman" w:hAnsi="Times New Roman" w:cs="Times New Roman"/>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p>
    <w:p w14:paraId="05C040EE">
      <w:pPr>
        <w:pStyle w:val="77"/>
        <w:rPr>
          <w:rFonts w:ascii="Times New Roman" w:hAnsi="Times New Roman" w:cs="Times New Roman"/>
        </w:rPr>
      </w:pPr>
      <w:r>
        <w:rPr>
          <w:rFonts w:ascii="Times New Roman" w:hAnsi="Times New Roman" w:cs="Times New Roman"/>
        </w:rPr>
        <w:t>（二）比选有效期：响应文件及有关承诺文件有效期为提交响应文件截止时间起90天。</w:t>
      </w:r>
    </w:p>
    <w:p w14:paraId="3B87B10B">
      <w:pPr>
        <w:pStyle w:val="77"/>
        <w:rPr>
          <w:rFonts w:ascii="Times New Roman" w:hAnsi="Times New Roman" w:cs="Times New Roman"/>
        </w:rPr>
      </w:pPr>
      <w:r>
        <w:rPr>
          <w:rFonts w:ascii="Times New Roman" w:hAnsi="Times New Roman" w:cs="Times New Roman"/>
        </w:rPr>
        <w:t>（三）修正错误</w:t>
      </w:r>
    </w:p>
    <w:p w14:paraId="5F9FD0E1">
      <w:pPr>
        <w:pStyle w:val="77"/>
        <w:rPr>
          <w:rFonts w:ascii="Times New Roman" w:hAnsi="Times New Roman" w:cs="Times New Roman"/>
        </w:rPr>
      </w:pPr>
      <w:r>
        <w:rPr>
          <w:rFonts w:ascii="Times New Roman" w:hAnsi="Times New Roman" w:cs="Times New Roman"/>
        </w:rPr>
        <w:t>1.若供应商所递交的响应文件或最后报价中的价格出现大写金额和小写金额不一致的错误，以大写金额修正为准。</w:t>
      </w:r>
    </w:p>
    <w:p w14:paraId="111D386F">
      <w:pPr>
        <w:pStyle w:val="77"/>
        <w:rPr>
          <w:rFonts w:ascii="Times New Roman" w:hAnsi="Times New Roman" w:cs="Times New Roman"/>
        </w:rPr>
      </w:pPr>
      <w:r>
        <w:rPr>
          <w:rFonts w:ascii="Times New Roman" w:hAnsi="Times New Roman" w:cs="Times New Roman"/>
        </w:rPr>
        <w:t>2.</w:t>
      </w:r>
      <w:r>
        <w:rPr>
          <w:rFonts w:hint="eastAsia" w:ascii="Times New Roman" w:hAnsi="Times New Roman" w:cs="Times New Roman"/>
        </w:rPr>
        <w:t>评审小组</w:t>
      </w:r>
      <w:r>
        <w:rPr>
          <w:rFonts w:ascii="Times New Roman" w:hAnsi="Times New Roman" w:cs="Times New Roman"/>
        </w:rPr>
        <w:t>按上述修正错误的原则及方法修正供应商的报价，供应商同意并签字确认后，修正后的报价对供应商具有约束作用。如果供应商不接受修正后的价格，将失去成为成交供应商的资格。</w:t>
      </w:r>
    </w:p>
    <w:p w14:paraId="290AB4FF">
      <w:pPr>
        <w:pStyle w:val="77"/>
        <w:rPr>
          <w:rFonts w:ascii="Times New Roman" w:hAnsi="Times New Roman" w:cs="Times New Roman"/>
        </w:rPr>
      </w:pPr>
      <w:r>
        <w:rPr>
          <w:rFonts w:ascii="Times New Roman" w:hAnsi="Times New Roman" w:cs="Times New Roman"/>
        </w:rPr>
        <w:t>（四）提交响应文件的份数和签署</w:t>
      </w:r>
    </w:p>
    <w:p w14:paraId="1ACE56BB">
      <w:pPr>
        <w:pStyle w:val="77"/>
        <w:rPr>
          <w:rFonts w:ascii="Times New Roman" w:hAnsi="Times New Roman" w:cs="Times New Roman"/>
          <w:b/>
          <w:bCs/>
        </w:rPr>
      </w:pPr>
      <w:r>
        <w:rPr>
          <w:rFonts w:ascii="Times New Roman" w:hAnsi="Times New Roman" w:cs="Times New Roman"/>
        </w:rPr>
        <w:t>1.</w:t>
      </w:r>
      <w:r>
        <w:rPr>
          <w:rFonts w:ascii="Times New Roman" w:hAnsi="Times New Roman" w:cs="Times New Roman"/>
          <w:b/>
          <w:bCs/>
        </w:rPr>
        <w:t>响应文件一式</w:t>
      </w:r>
      <w:r>
        <w:rPr>
          <w:rFonts w:hint="eastAsia" w:ascii="Times New Roman" w:hAnsi="Times New Roman" w:cs="Times New Roman"/>
          <w:b/>
          <w:bCs/>
        </w:rPr>
        <w:t>三</w:t>
      </w:r>
      <w:r>
        <w:rPr>
          <w:rFonts w:ascii="Times New Roman" w:hAnsi="Times New Roman" w:cs="Times New Roman"/>
          <w:b/>
          <w:bCs/>
        </w:rPr>
        <w:t>份，其中</w:t>
      </w:r>
      <w:r>
        <w:rPr>
          <w:rFonts w:ascii="Times New Roman" w:hAnsi="Times New Roman" w:cs="Times New Roman"/>
          <w:b/>
          <w:bCs/>
          <w:u w:val="single"/>
        </w:rPr>
        <w:t>正本一份</w:t>
      </w:r>
      <w:r>
        <w:rPr>
          <w:rFonts w:ascii="Times New Roman" w:hAnsi="Times New Roman" w:cs="Times New Roman"/>
          <w:b/>
          <w:bCs/>
        </w:rPr>
        <w:t>，</w:t>
      </w:r>
      <w:r>
        <w:rPr>
          <w:rFonts w:ascii="Times New Roman" w:hAnsi="Times New Roman" w:cs="Times New Roman"/>
          <w:b/>
          <w:bCs/>
          <w:u w:val="single"/>
        </w:rPr>
        <w:t>副本一份</w:t>
      </w:r>
      <w:r>
        <w:rPr>
          <w:rFonts w:ascii="Times New Roman" w:hAnsi="Times New Roman" w:cs="Times New Roman"/>
          <w:b/>
          <w:bCs/>
        </w:rPr>
        <w:t>，</w:t>
      </w:r>
      <w:r>
        <w:rPr>
          <w:rFonts w:ascii="Times New Roman" w:hAnsi="Times New Roman" w:cs="Times New Roman"/>
          <w:b/>
          <w:bCs/>
          <w:u w:val="single"/>
        </w:rPr>
        <w:t>电子版形式</w:t>
      </w:r>
      <w:r>
        <w:rPr>
          <w:rFonts w:hint="eastAsia" w:ascii="Times New Roman" w:hAnsi="Times New Roman" w:cs="Times New Roman"/>
          <w:b/>
          <w:bCs/>
          <w:u w:val="single"/>
        </w:rPr>
        <w:t>一</w:t>
      </w:r>
      <w:r>
        <w:rPr>
          <w:rFonts w:ascii="Times New Roman" w:hAnsi="Times New Roman" w:cs="Times New Roman"/>
          <w:b/>
          <w:bCs/>
          <w:u w:val="single"/>
        </w:rPr>
        <w:t>份</w:t>
      </w:r>
      <w:r>
        <w:rPr>
          <w:rFonts w:hint="eastAsia" w:ascii="Times New Roman" w:hAnsi="Times New Roman" w:cs="Times New Roman"/>
          <w:b/>
          <w:bCs/>
        </w:rPr>
        <w:t>，</w:t>
      </w:r>
      <w:r>
        <w:rPr>
          <w:rFonts w:ascii="Times New Roman" w:hAnsi="Times New Roman" w:cs="Times New Roman"/>
          <w:b/>
          <w:bCs/>
        </w:rPr>
        <w:t>每套纸质响应文件须在封面清楚地标明“正本”、“副本”；副本可为正本的复印件，应与正本一致，如出现不一致情况以正本为准</w:t>
      </w:r>
      <w:r>
        <w:rPr>
          <w:rFonts w:hint="eastAsia" w:ascii="Times New Roman" w:hAnsi="Times New Roman" w:cs="Times New Roman"/>
          <w:b/>
          <w:bCs/>
        </w:rPr>
        <w:t>，</w:t>
      </w:r>
      <w:r>
        <w:rPr>
          <w:rFonts w:ascii="Times New Roman" w:hAnsi="Times New Roman" w:cs="Times New Roman"/>
          <w:b/>
          <w:bCs/>
        </w:rPr>
        <w:t>电子文档内容包括竞选文件的 Word版及纸质正本扫描后的 PDF版，Word 文本、PDF 文本应与纸质文件正本一致，否则，评审小组将认定为符合性审查不通过，属无效响应。</w:t>
      </w:r>
    </w:p>
    <w:p w14:paraId="78E21155">
      <w:pPr>
        <w:pStyle w:val="77"/>
        <w:spacing w:line="360" w:lineRule="exact"/>
        <w:rPr>
          <w:rFonts w:ascii="Times New Roman" w:hAnsi="Times New Roman" w:cs="Times New Roman"/>
        </w:rPr>
      </w:pPr>
      <w:r>
        <w:rPr>
          <w:rFonts w:ascii="Times New Roman" w:hAnsi="Times New Roman" w:cs="Times New Roman"/>
        </w:rPr>
        <w:t>2.响应文件按公开比选文件“第七篇响应文件编制要求”要求签署或盖章。</w:t>
      </w:r>
    </w:p>
    <w:p w14:paraId="13BFDC13">
      <w:pPr>
        <w:pStyle w:val="77"/>
        <w:spacing w:line="360" w:lineRule="exact"/>
        <w:rPr>
          <w:rFonts w:ascii="Times New Roman" w:hAnsi="Times New Roman" w:cs="Times New Roman"/>
        </w:rPr>
      </w:pPr>
      <w:r>
        <w:rPr>
          <w:rFonts w:ascii="Times New Roman" w:hAnsi="Times New Roman" w:cs="Times New Roman"/>
        </w:rPr>
        <w:t>3.电报、电话、传真形式的响应文件概不接受。</w:t>
      </w:r>
    </w:p>
    <w:p w14:paraId="426A717C">
      <w:pPr>
        <w:pStyle w:val="77"/>
        <w:spacing w:line="360" w:lineRule="exact"/>
        <w:rPr>
          <w:rFonts w:ascii="Times New Roman" w:hAnsi="Times New Roman" w:cs="Times New Roman"/>
        </w:rPr>
      </w:pPr>
      <w:r>
        <w:rPr>
          <w:rFonts w:ascii="Times New Roman" w:hAnsi="Times New Roman" w:cs="Times New Roman"/>
        </w:rPr>
        <w:t>（五）响应文件的递交</w:t>
      </w:r>
    </w:p>
    <w:p w14:paraId="08907ED0">
      <w:pPr>
        <w:pStyle w:val="77"/>
        <w:spacing w:line="360" w:lineRule="exact"/>
        <w:rPr>
          <w:rFonts w:ascii="Times New Roman" w:hAnsi="Times New Roman" w:cs="Times New Roman"/>
        </w:rPr>
      </w:pPr>
      <w:r>
        <w:rPr>
          <w:rFonts w:ascii="Times New Roman" w:hAnsi="Times New Roman" w:cs="Times New Roman"/>
        </w:rPr>
        <w:t>响应文件的正本、副本应密封送达比选地点，应在封套上注明比选项目名称、供应商名称。若正本、副本分别进行密封的，还应在封套上注明“正本”、“副本”字样。</w:t>
      </w:r>
    </w:p>
    <w:p w14:paraId="2A5DA018">
      <w:pPr>
        <w:pStyle w:val="77"/>
        <w:spacing w:line="360" w:lineRule="exact"/>
        <w:rPr>
          <w:rFonts w:ascii="Times New Roman" w:hAnsi="Times New Roman" w:cs="Times New Roman"/>
        </w:rPr>
      </w:pPr>
      <w:r>
        <w:rPr>
          <w:rFonts w:ascii="Times New Roman" w:hAnsi="Times New Roman" w:cs="Times New Roman"/>
        </w:rPr>
        <w:t>（六）供应商参与人员</w:t>
      </w:r>
    </w:p>
    <w:p w14:paraId="64D38AD7">
      <w:pPr>
        <w:pStyle w:val="77"/>
        <w:spacing w:line="360" w:lineRule="exact"/>
        <w:rPr>
          <w:rFonts w:ascii="Times New Roman" w:hAnsi="Times New Roman" w:cs="Times New Roman"/>
        </w:rPr>
      </w:pPr>
      <w:r>
        <w:rPr>
          <w:rFonts w:ascii="Times New Roman" w:hAnsi="Times New Roman" w:cs="Times New Roman"/>
        </w:rPr>
        <w:t>各个供应商应当派1-2名代表参与比选，至少1人应为法定代表人（或其授权代表）或自然人（供应商为自然人）。</w:t>
      </w:r>
    </w:p>
    <w:p w14:paraId="228236F2">
      <w:pPr>
        <w:pStyle w:val="3"/>
        <w:numPr>
          <w:ilvl w:val="0"/>
          <w:numId w:val="12"/>
        </w:numPr>
        <w:adjustRightInd w:val="0"/>
        <w:snapToGrid w:val="0"/>
        <w:spacing w:before="0" w:after="0" w:line="400" w:lineRule="exact"/>
        <w:ind w:firstLine="482" w:firstLineChars="200"/>
        <w:rPr>
          <w:rFonts w:ascii="Times New Roman" w:hAnsi="Times New Roman" w:eastAsia="方正仿宋_GBK"/>
          <w:sz w:val="24"/>
        </w:rPr>
      </w:pPr>
      <w:bookmarkStart w:id="68" w:name="_Toc76462341"/>
      <w:bookmarkStart w:id="69" w:name="_Toc106030896"/>
      <w:r>
        <w:rPr>
          <w:rFonts w:ascii="Times New Roman" w:hAnsi="Times New Roman" w:eastAsia="方正仿宋_GBK"/>
          <w:sz w:val="24"/>
        </w:rPr>
        <w:t>比选</w:t>
      </w:r>
    </w:p>
    <w:p w14:paraId="78829769">
      <w:pPr>
        <w:pStyle w:val="77"/>
        <w:spacing w:line="360" w:lineRule="exact"/>
        <w:rPr>
          <w:rFonts w:ascii="Times New Roman" w:hAnsi="Times New Roman" w:cs="Times New Roman"/>
        </w:rPr>
      </w:pPr>
      <w:r>
        <w:rPr>
          <w:rFonts w:ascii="Times New Roman" w:hAnsi="Times New Roman" w:cs="Times New Roman"/>
        </w:rPr>
        <w:t>（一）比选在采购文件中“采购邀请书”确定的时间和地点公开进行。</w:t>
      </w:r>
    </w:p>
    <w:p w14:paraId="44F78B82">
      <w:pPr>
        <w:pStyle w:val="77"/>
        <w:spacing w:line="360" w:lineRule="exact"/>
        <w:rPr>
          <w:rFonts w:ascii="Times New Roman" w:hAnsi="Times New Roman" w:cs="Times New Roman"/>
        </w:rPr>
      </w:pPr>
      <w:r>
        <w:rPr>
          <w:rFonts w:ascii="Times New Roman" w:hAnsi="Times New Roman" w:cs="Times New Roman"/>
        </w:rPr>
        <w:t>（二）比选由采购人主持，有关监督部门代表参加，有关监督部门可视情况派员现场监督。</w:t>
      </w:r>
    </w:p>
    <w:p w14:paraId="67AFD783">
      <w:pPr>
        <w:pStyle w:val="77"/>
        <w:spacing w:line="360" w:lineRule="exact"/>
        <w:rPr>
          <w:rFonts w:ascii="Times New Roman" w:hAnsi="Times New Roman" w:cs="Times New Roman"/>
        </w:rPr>
      </w:pPr>
      <w:r>
        <w:rPr>
          <w:rFonts w:ascii="Times New Roman" w:hAnsi="Times New Roman" w:cs="Times New Roman"/>
        </w:rPr>
        <w:t>（三）比选时，由供应商或者其推选的代表检查响应文件的密封情况；经确认无误后，按程序进行比选。供应商不足三家的，不得进行比选采购。</w:t>
      </w:r>
    </w:p>
    <w:p w14:paraId="5FEB9BE6">
      <w:pPr>
        <w:pStyle w:val="77"/>
        <w:spacing w:line="360" w:lineRule="exact"/>
        <w:rPr>
          <w:rFonts w:ascii="Times New Roman" w:hAnsi="Times New Roman" w:cs="Times New Roman"/>
        </w:rPr>
      </w:pPr>
      <w:r>
        <w:rPr>
          <w:rFonts w:ascii="Times New Roman" w:hAnsi="Times New Roman" w:cs="Times New Roman"/>
        </w:rPr>
        <w:t>（四）比选过程应由采购人负责记录，并存档备查。</w:t>
      </w:r>
    </w:p>
    <w:p w14:paraId="6CC8A231">
      <w:pPr>
        <w:pStyle w:val="77"/>
        <w:spacing w:line="360" w:lineRule="exact"/>
        <w:rPr>
          <w:rFonts w:ascii="Times New Roman" w:hAnsi="Times New Roman" w:cs="Times New Roman"/>
        </w:rPr>
      </w:pPr>
      <w:r>
        <w:rPr>
          <w:rFonts w:ascii="Times New Roman" w:hAnsi="Times New Roman" w:cs="Times New Roman"/>
        </w:rPr>
        <w:t>（五）供应商未参加开标的，视同认可开标结果。</w:t>
      </w:r>
    </w:p>
    <w:p w14:paraId="68031142">
      <w:pPr>
        <w:pStyle w:val="3"/>
        <w:adjustRightInd w:val="0"/>
        <w:snapToGrid w:val="0"/>
        <w:spacing w:before="0" w:after="0" w:line="400" w:lineRule="exact"/>
        <w:ind w:firstLine="482" w:firstLineChars="200"/>
        <w:rPr>
          <w:rFonts w:ascii="Times New Roman" w:hAnsi="Times New Roman" w:eastAsia="方正仿宋_GBK"/>
          <w:sz w:val="24"/>
        </w:rPr>
      </w:pPr>
      <w:r>
        <w:rPr>
          <w:rFonts w:ascii="Times New Roman" w:hAnsi="Times New Roman" w:eastAsia="方正仿宋_GBK"/>
          <w:sz w:val="24"/>
        </w:rPr>
        <w:t>五、成交供应商的确认和变更</w:t>
      </w:r>
      <w:bookmarkEnd w:id="68"/>
      <w:bookmarkEnd w:id="69"/>
    </w:p>
    <w:p w14:paraId="58B9FAB3">
      <w:pPr>
        <w:pStyle w:val="77"/>
        <w:spacing w:line="360" w:lineRule="exact"/>
        <w:rPr>
          <w:rFonts w:ascii="Times New Roman" w:hAnsi="Times New Roman" w:cs="Times New Roman"/>
        </w:rPr>
      </w:pPr>
      <w:r>
        <w:rPr>
          <w:rFonts w:ascii="Times New Roman" w:hAnsi="Times New Roman" w:cs="Times New Roman"/>
        </w:rPr>
        <w:t>（一）成交供应商的确认</w:t>
      </w:r>
    </w:p>
    <w:p w14:paraId="71D38A2E">
      <w:pPr>
        <w:pStyle w:val="77"/>
        <w:spacing w:line="360" w:lineRule="exact"/>
        <w:rPr>
          <w:rFonts w:ascii="Times New Roman" w:hAnsi="Times New Roman" w:cs="Times New Roman"/>
        </w:rPr>
      </w:pPr>
      <w:r>
        <w:rPr>
          <w:rFonts w:ascii="Times New Roman" w:hAnsi="Times New Roman" w:cs="Times New Roman"/>
        </w:rPr>
        <w:t>采购人应当按照排序由高到低的原则确定成交供应商。</w:t>
      </w:r>
    </w:p>
    <w:p w14:paraId="5B68E8CA">
      <w:pPr>
        <w:pStyle w:val="77"/>
        <w:spacing w:line="360" w:lineRule="exact"/>
        <w:rPr>
          <w:rFonts w:ascii="Times New Roman" w:hAnsi="Times New Roman" w:cs="Times New Roman"/>
        </w:rPr>
      </w:pPr>
      <w:r>
        <w:rPr>
          <w:rFonts w:ascii="Times New Roman" w:hAnsi="Times New Roman" w:cs="Times New Roman"/>
        </w:rPr>
        <w:t>（二）成交供应商的变更</w:t>
      </w:r>
    </w:p>
    <w:p w14:paraId="62B784BE">
      <w:pPr>
        <w:pStyle w:val="77"/>
        <w:spacing w:line="360" w:lineRule="exact"/>
        <w:rPr>
          <w:rFonts w:ascii="Times New Roman" w:hAnsi="Times New Roman" w:cs="Times New Roman"/>
        </w:rPr>
      </w:pPr>
      <w:r>
        <w:rPr>
          <w:rFonts w:ascii="Times New Roman" w:hAnsi="Times New Roman" w:cs="Times New Roman"/>
        </w:rPr>
        <w:t>1.成交供应商拒绝与采购人签订合同的，采购人可以按照评标结果记录表推荐的成交候选供应商顺序，确定排名下一位的候选人为成交供应商，也可以重新开展采购活动。拒绝签订采购合同的成交供应商不得参加对该项目重新开展的采购活动。</w:t>
      </w:r>
    </w:p>
    <w:p w14:paraId="356C546D">
      <w:pPr>
        <w:pStyle w:val="77"/>
        <w:spacing w:line="360" w:lineRule="exact"/>
        <w:rPr>
          <w:rFonts w:ascii="Times New Roman" w:hAnsi="Times New Roman" w:cs="Times New Roman"/>
        </w:rPr>
      </w:pPr>
      <w:r>
        <w:rPr>
          <w:rFonts w:ascii="Times New Roman" w:hAnsi="Times New Roman" w:cs="Times New Roman"/>
        </w:rPr>
        <w:t>2.成交供应商无充分理由放弃成交的，采购人将向医院及上级监督部门报告并列入供应商黑名单，监督部门将根据相关法律法规的规定进行处理。</w:t>
      </w:r>
    </w:p>
    <w:p w14:paraId="17EFA68D">
      <w:pPr>
        <w:pStyle w:val="3"/>
        <w:adjustRightInd w:val="0"/>
        <w:snapToGrid w:val="0"/>
        <w:spacing w:before="0" w:after="0" w:line="400" w:lineRule="exact"/>
        <w:ind w:firstLine="482" w:firstLineChars="200"/>
        <w:rPr>
          <w:rFonts w:ascii="Times New Roman" w:hAnsi="Times New Roman" w:eastAsia="方正仿宋_GBK"/>
          <w:sz w:val="24"/>
          <w:szCs w:val="24"/>
        </w:rPr>
      </w:pPr>
      <w:bookmarkStart w:id="70" w:name="_Toc76462343"/>
      <w:bookmarkStart w:id="71" w:name="_Toc106030898"/>
      <w:r>
        <w:rPr>
          <w:rFonts w:ascii="Times New Roman" w:hAnsi="Times New Roman" w:eastAsia="方正仿宋_GBK"/>
          <w:sz w:val="24"/>
        </w:rPr>
        <w:t>六、关于质疑和投诉</w:t>
      </w:r>
      <w:bookmarkEnd w:id="70"/>
      <w:bookmarkEnd w:id="71"/>
    </w:p>
    <w:p w14:paraId="5FD5379A">
      <w:pPr>
        <w:pStyle w:val="77"/>
        <w:spacing w:line="360" w:lineRule="exact"/>
        <w:rPr>
          <w:rFonts w:ascii="Times New Roman" w:hAnsi="Times New Roman" w:cs="Times New Roman"/>
        </w:rPr>
      </w:pPr>
      <w:r>
        <w:rPr>
          <w:rFonts w:ascii="Times New Roman" w:hAnsi="Times New Roman" w:cs="Times New Roman"/>
        </w:rPr>
        <w:t>供应商认为采购文件、采购过程和成交结果使自己的权益收到伤害的，可向采购人以书面形式提出质疑。</w:t>
      </w:r>
    </w:p>
    <w:p w14:paraId="11C2FA9F">
      <w:pPr>
        <w:pStyle w:val="77"/>
        <w:spacing w:line="360" w:lineRule="exact"/>
        <w:rPr>
          <w:rFonts w:ascii="Times New Roman" w:hAnsi="Times New Roman" w:cs="Times New Roman"/>
        </w:rPr>
      </w:pPr>
      <w:r>
        <w:rPr>
          <w:rFonts w:ascii="Times New Roman" w:hAnsi="Times New Roman" w:cs="Times New Roman"/>
        </w:rPr>
        <w:t xml:space="preserve">提出质疑的应当是参与所质疑项目采购活动的供应商。 </w:t>
      </w:r>
    </w:p>
    <w:p w14:paraId="001559EB">
      <w:pPr>
        <w:pStyle w:val="77"/>
        <w:spacing w:line="360" w:lineRule="exact"/>
        <w:rPr>
          <w:rFonts w:ascii="Times New Roman" w:hAnsi="Times New Roman" w:cs="Times New Roman"/>
        </w:rPr>
      </w:pPr>
      <w:r>
        <w:rPr>
          <w:rFonts w:ascii="Times New Roman" w:hAnsi="Times New Roman" w:cs="Times New Roman"/>
        </w:rPr>
        <w:t>1.质疑时限、内容</w:t>
      </w:r>
    </w:p>
    <w:p w14:paraId="4E2729AB">
      <w:pPr>
        <w:pStyle w:val="77"/>
        <w:spacing w:line="360" w:lineRule="exact"/>
        <w:rPr>
          <w:rFonts w:ascii="Times New Roman" w:hAnsi="Times New Roman" w:cs="Times New Roman"/>
        </w:rPr>
      </w:pPr>
      <w:r>
        <w:rPr>
          <w:rFonts w:ascii="Times New Roman" w:hAnsi="Times New Roman" w:cs="Times New Roman"/>
        </w:rPr>
        <w:t>供应商认为采购文件、采购过程、成交结果使自己的权益受到损害的，可以书面形式向采购人提出质疑。</w:t>
      </w:r>
    </w:p>
    <w:p w14:paraId="4F765FC9">
      <w:pPr>
        <w:pStyle w:val="77"/>
        <w:spacing w:line="360" w:lineRule="exact"/>
        <w:rPr>
          <w:rFonts w:ascii="Times New Roman" w:hAnsi="Times New Roman" w:cs="Times New Roman"/>
        </w:rPr>
      </w:pPr>
      <w:r>
        <w:rPr>
          <w:rFonts w:ascii="Times New Roman" w:hAnsi="Times New Roman" w:cs="Times New Roman"/>
        </w:rPr>
        <w:t>1.2供应商提出质疑应当提交质疑函和必要的证明材料，质疑函应当包括下列内容：</w:t>
      </w:r>
    </w:p>
    <w:p w14:paraId="0B458142">
      <w:pPr>
        <w:pStyle w:val="77"/>
        <w:spacing w:line="360" w:lineRule="exact"/>
        <w:rPr>
          <w:rFonts w:ascii="Times New Roman" w:hAnsi="Times New Roman" w:cs="Times New Roman"/>
        </w:rPr>
      </w:pPr>
      <w:r>
        <w:rPr>
          <w:rFonts w:ascii="Times New Roman" w:hAnsi="Times New Roman" w:cs="Times New Roman"/>
        </w:rPr>
        <w:t>1.2.1供应商的姓名或者名称、地址、邮编、联系人及联系电话；</w:t>
      </w:r>
    </w:p>
    <w:p w14:paraId="047C6F49">
      <w:pPr>
        <w:pStyle w:val="77"/>
        <w:spacing w:line="360" w:lineRule="exact"/>
        <w:rPr>
          <w:rFonts w:ascii="Times New Roman" w:hAnsi="Times New Roman" w:cs="Times New Roman"/>
        </w:rPr>
      </w:pPr>
      <w:r>
        <w:rPr>
          <w:rFonts w:ascii="Times New Roman" w:hAnsi="Times New Roman" w:cs="Times New Roman"/>
        </w:rPr>
        <w:t>1.2.2质疑项目的名称、项目号以及采购执行编号；</w:t>
      </w:r>
    </w:p>
    <w:p w14:paraId="34C600BD">
      <w:pPr>
        <w:pStyle w:val="77"/>
        <w:spacing w:line="360" w:lineRule="exact"/>
        <w:rPr>
          <w:rFonts w:ascii="Times New Roman" w:hAnsi="Times New Roman" w:cs="Times New Roman"/>
        </w:rPr>
      </w:pPr>
      <w:r>
        <w:rPr>
          <w:rFonts w:ascii="Times New Roman" w:hAnsi="Times New Roman" w:cs="Times New Roman"/>
        </w:rPr>
        <w:t>1.2.3具体、明确的质疑事项和与质疑事项相关的请求；</w:t>
      </w:r>
    </w:p>
    <w:p w14:paraId="2B17157F">
      <w:pPr>
        <w:pStyle w:val="77"/>
        <w:spacing w:line="360" w:lineRule="exact"/>
        <w:rPr>
          <w:rFonts w:ascii="Times New Roman" w:hAnsi="Times New Roman" w:cs="Times New Roman"/>
        </w:rPr>
      </w:pPr>
      <w:r>
        <w:rPr>
          <w:rFonts w:ascii="Times New Roman" w:hAnsi="Times New Roman" w:cs="Times New Roman"/>
        </w:rPr>
        <w:t>1.2.4事实依据；</w:t>
      </w:r>
    </w:p>
    <w:p w14:paraId="2FA083E0">
      <w:pPr>
        <w:pStyle w:val="77"/>
        <w:spacing w:line="360" w:lineRule="exact"/>
        <w:rPr>
          <w:rFonts w:ascii="Times New Roman" w:hAnsi="Times New Roman" w:cs="Times New Roman"/>
        </w:rPr>
      </w:pPr>
      <w:r>
        <w:rPr>
          <w:rFonts w:ascii="Times New Roman" w:hAnsi="Times New Roman" w:cs="Times New Roman"/>
        </w:rPr>
        <w:t>1.2.5必要的法律依据；</w:t>
      </w:r>
    </w:p>
    <w:p w14:paraId="3BF000F1">
      <w:pPr>
        <w:pStyle w:val="77"/>
        <w:spacing w:line="360" w:lineRule="exact"/>
        <w:rPr>
          <w:rFonts w:ascii="Times New Roman" w:hAnsi="Times New Roman" w:cs="Times New Roman"/>
        </w:rPr>
      </w:pPr>
      <w:r>
        <w:rPr>
          <w:rFonts w:ascii="Times New Roman" w:hAnsi="Times New Roman" w:cs="Times New Roman"/>
        </w:rPr>
        <w:t>1.2.6提出质疑的日期；</w:t>
      </w:r>
    </w:p>
    <w:p w14:paraId="0160EBDB">
      <w:pPr>
        <w:pStyle w:val="77"/>
        <w:spacing w:line="360" w:lineRule="exact"/>
        <w:rPr>
          <w:rFonts w:ascii="Times New Roman" w:hAnsi="Times New Roman" w:cs="Times New Roman"/>
        </w:rPr>
      </w:pPr>
      <w:r>
        <w:rPr>
          <w:rFonts w:ascii="Times New Roman" w:hAnsi="Times New Roman" w:cs="Times New Roman"/>
        </w:rPr>
        <w:t>1.2.7营业执照（或事业单位法人证书，或个体工商户营业执照或有效的自然人身份证明）复印件；</w:t>
      </w:r>
    </w:p>
    <w:p w14:paraId="7E44DCEA">
      <w:pPr>
        <w:pStyle w:val="77"/>
        <w:spacing w:line="360" w:lineRule="exact"/>
        <w:rPr>
          <w:rFonts w:ascii="Times New Roman" w:hAnsi="Times New Roman" w:cs="Times New Roman"/>
        </w:rPr>
      </w:pPr>
      <w:r>
        <w:rPr>
          <w:rFonts w:ascii="Times New Roman" w:hAnsi="Times New Roman" w:cs="Times New Roman"/>
        </w:rPr>
        <w:t>1.2.8法定代表人授权委托书原件、法定代表人身份证复印件和其授权代表的身份证复印件（供应商为自然人的提供自然人身份证复印件）；</w:t>
      </w:r>
    </w:p>
    <w:p w14:paraId="32DBEB3B">
      <w:pPr>
        <w:spacing w:line="400" w:lineRule="exact"/>
        <w:ind w:right="12" w:firstLine="480"/>
        <w:rPr>
          <w:rFonts w:eastAsia="方正仿宋_GBK"/>
          <w:sz w:val="24"/>
        </w:rPr>
      </w:pPr>
      <w:r>
        <w:rPr>
          <w:rFonts w:eastAsia="方正仿宋_GBK"/>
          <w:sz w:val="24"/>
        </w:rPr>
        <w:t>1.3供应商为自然人的，质疑函应当由本人签字；供应商为法人或者其他组织的，质疑函应当由法定代表人、主要负责人，或者其授权代表签字或者盖章，并加盖公章。</w:t>
      </w:r>
    </w:p>
    <w:p w14:paraId="39DBFCF1">
      <w:pPr>
        <w:spacing w:line="400" w:lineRule="exact"/>
        <w:ind w:right="12" w:firstLine="480"/>
        <w:outlineLvl w:val="2"/>
        <w:rPr>
          <w:rFonts w:eastAsia="方正仿宋_GBK"/>
          <w:sz w:val="24"/>
        </w:rPr>
      </w:pPr>
      <w:r>
        <w:rPr>
          <w:rFonts w:eastAsia="方正仿宋_GBK"/>
          <w:sz w:val="24"/>
        </w:rPr>
        <w:t>2.质疑答复</w:t>
      </w:r>
    </w:p>
    <w:p w14:paraId="47838078">
      <w:pPr>
        <w:spacing w:line="400" w:lineRule="exact"/>
        <w:ind w:right="12" w:firstLine="480"/>
        <w:rPr>
          <w:rFonts w:eastAsia="方正仿宋_GBK"/>
          <w:sz w:val="24"/>
        </w:rPr>
      </w:pPr>
      <w:r>
        <w:rPr>
          <w:rFonts w:eastAsia="方正仿宋_GBK"/>
          <w:sz w:val="24"/>
        </w:rPr>
        <w:t>采购人应当在收到供应商的书面质疑后七个工作日内作出答复，并以书面形式通知质疑供应商和其他有关供应商。</w:t>
      </w:r>
    </w:p>
    <w:p w14:paraId="1AE44A0C">
      <w:pPr>
        <w:spacing w:line="400" w:lineRule="exact"/>
        <w:ind w:right="12" w:firstLine="480"/>
        <w:outlineLvl w:val="2"/>
        <w:rPr>
          <w:rFonts w:eastAsia="方正仿宋_GBK"/>
          <w:sz w:val="24"/>
        </w:rPr>
      </w:pPr>
      <w:r>
        <w:rPr>
          <w:rFonts w:hint="eastAsia" w:eastAsia="方正仿宋_GBK"/>
          <w:sz w:val="24"/>
        </w:rPr>
        <w:t>3.对采购人的答复不满意，可向行政监督部门投诉。</w:t>
      </w:r>
    </w:p>
    <w:p w14:paraId="42F968A7">
      <w:pPr>
        <w:spacing w:line="400" w:lineRule="exact"/>
        <w:ind w:right="12" w:firstLine="480"/>
        <w:outlineLvl w:val="2"/>
        <w:rPr>
          <w:rFonts w:eastAsia="方正仿宋_GBK"/>
          <w:sz w:val="24"/>
        </w:rPr>
      </w:pPr>
      <w:r>
        <w:rPr>
          <w:rFonts w:hint="eastAsia" w:eastAsia="方正仿宋_GBK"/>
          <w:sz w:val="24"/>
        </w:rPr>
        <w:t>4</w:t>
      </w:r>
      <w:r>
        <w:rPr>
          <w:rFonts w:eastAsia="方正仿宋_GBK"/>
          <w:sz w:val="24"/>
        </w:rPr>
        <w:t>.其他</w:t>
      </w:r>
    </w:p>
    <w:p w14:paraId="7530B4A4">
      <w:pPr>
        <w:spacing w:line="400" w:lineRule="exact"/>
        <w:ind w:right="12" w:firstLine="480"/>
        <w:rPr>
          <w:rFonts w:eastAsia="方正仿宋_GBK"/>
          <w:sz w:val="24"/>
          <w:szCs w:val="24"/>
        </w:rPr>
      </w:pPr>
      <w:r>
        <w:rPr>
          <w:rFonts w:hint="eastAsia" w:eastAsia="方正仿宋_GBK"/>
          <w:sz w:val="24"/>
        </w:rPr>
        <w:t>4</w:t>
      </w:r>
      <w:r>
        <w:rPr>
          <w:rFonts w:eastAsia="方正仿宋_GBK"/>
          <w:sz w:val="24"/>
        </w:rPr>
        <w:t>.1供应商应一次性提出针对同一采购程序环节的质疑</w:t>
      </w:r>
      <w:r>
        <w:rPr>
          <w:rFonts w:hint="eastAsia" w:eastAsia="方正仿宋_GBK"/>
          <w:sz w:val="24"/>
        </w:rPr>
        <w:t>及投诉</w:t>
      </w:r>
      <w:r>
        <w:rPr>
          <w:rFonts w:eastAsia="方正仿宋_GBK"/>
          <w:sz w:val="24"/>
        </w:rPr>
        <w:t>。</w:t>
      </w:r>
    </w:p>
    <w:p w14:paraId="688EFFF2">
      <w:pPr>
        <w:pStyle w:val="3"/>
        <w:adjustRightInd w:val="0"/>
        <w:snapToGrid w:val="0"/>
        <w:spacing w:before="0" w:after="0" w:line="400" w:lineRule="exact"/>
        <w:ind w:firstLine="482" w:firstLineChars="200"/>
        <w:rPr>
          <w:rFonts w:ascii="Times New Roman" w:hAnsi="Times New Roman" w:eastAsia="方正仿宋_GBK"/>
          <w:sz w:val="24"/>
        </w:rPr>
      </w:pPr>
      <w:bookmarkStart w:id="72" w:name="_Toc102227322"/>
      <w:bookmarkStart w:id="73" w:name="_Toc106030901"/>
      <w:bookmarkStart w:id="74" w:name="_Toc76462346"/>
      <w:bookmarkStart w:id="75" w:name="_Toc342913396"/>
      <w:bookmarkStart w:id="76" w:name="_Toc11641055"/>
      <w:bookmarkStart w:id="77" w:name="_Toc12789059"/>
      <w:r>
        <w:rPr>
          <w:rFonts w:hint="eastAsia" w:ascii="Times New Roman" w:hAnsi="Times New Roman" w:eastAsia="方正仿宋_GBK"/>
          <w:sz w:val="24"/>
        </w:rPr>
        <w:t>七</w:t>
      </w:r>
      <w:r>
        <w:rPr>
          <w:rFonts w:ascii="Times New Roman" w:hAnsi="Times New Roman" w:eastAsia="方正仿宋_GBK"/>
          <w:sz w:val="24"/>
        </w:rPr>
        <w:t>、签订</w:t>
      </w:r>
      <w:bookmarkEnd w:id="72"/>
      <w:r>
        <w:rPr>
          <w:rFonts w:ascii="Times New Roman" w:hAnsi="Times New Roman" w:eastAsia="方正仿宋_GBK"/>
          <w:sz w:val="24"/>
        </w:rPr>
        <w:t>合同</w:t>
      </w:r>
      <w:bookmarkEnd w:id="73"/>
      <w:bookmarkEnd w:id="74"/>
      <w:bookmarkEnd w:id="75"/>
    </w:p>
    <w:p w14:paraId="50FDD73B">
      <w:pPr>
        <w:spacing w:line="400" w:lineRule="exact"/>
        <w:ind w:firstLine="360" w:firstLineChars="150"/>
        <w:rPr>
          <w:rFonts w:eastAsia="方正仿宋_GBK"/>
          <w:sz w:val="24"/>
          <w:szCs w:val="24"/>
        </w:rPr>
      </w:pPr>
      <w:r>
        <w:rPr>
          <w:rFonts w:eastAsia="方正仿宋_GBK"/>
          <w:sz w:val="24"/>
          <w:szCs w:val="24"/>
        </w:rPr>
        <w:t>（一）采购人应当自收到成交通知书发出之日起20日内，按照采购文件和中标人响应文件的约定，与中标人签订书面合同。所签订的合同不得对采购文件和中标人响应文件作实质性修改。</w:t>
      </w:r>
    </w:p>
    <w:p w14:paraId="3536D6FD">
      <w:pPr>
        <w:spacing w:line="400" w:lineRule="exact"/>
        <w:ind w:firstLine="360" w:firstLineChars="150"/>
        <w:rPr>
          <w:rFonts w:eastAsia="方正仿宋_GBK"/>
          <w:sz w:val="24"/>
          <w:szCs w:val="24"/>
        </w:rPr>
      </w:pPr>
      <w:r>
        <w:rPr>
          <w:rFonts w:eastAsia="方正仿宋_GBK"/>
          <w:sz w:val="24"/>
          <w:szCs w:val="24"/>
        </w:rPr>
        <w:t>（二）采购文件、中标人的响应文件及澄清文件等，均为签订采购合同的依据。</w:t>
      </w:r>
    </w:p>
    <w:p w14:paraId="13E2789C">
      <w:pPr>
        <w:spacing w:line="400" w:lineRule="exact"/>
        <w:ind w:firstLine="360" w:firstLineChars="150"/>
        <w:rPr>
          <w:rFonts w:eastAsia="方正仿宋_GBK"/>
          <w:sz w:val="24"/>
          <w:szCs w:val="24"/>
        </w:rPr>
      </w:pPr>
      <w:r>
        <w:rPr>
          <w:rFonts w:eastAsia="方正仿宋_GBK"/>
          <w:sz w:val="24"/>
          <w:szCs w:val="24"/>
        </w:rPr>
        <w:t>（三）采购人与成交供应商签署合同时，应当同时签署廉洁购销合同，列明企业指定销售代表姓名，以及不得实施商业贿赂行为、实施商业贿赂行为后将被列入商业贿赂不良记录等条款。</w:t>
      </w:r>
    </w:p>
    <w:p w14:paraId="7239C432">
      <w:pPr>
        <w:spacing w:line="400" w:lineRule="exact"/>
        <w:ind w:firstLine="360" w:firstLineChars="150"/>
        <w:rPr>
          <w:rFonts w:eastAsia="方正仿宋_GBK"/>
          <w:sz w:val="24"/>
          <w:szCs w:val="24"/>
        </w:rPr>
      </w:pPr>
      <w:r>
        <w:rPr>
          <w:rFonts w:eastAsia="方正仿宋_GBK"/>
          <w:sz w:val="24"/>
          <w:szCs w:val="24"/>
        </w:rPr>
        <w:t>（四）合同生效条款由供需双方约定，法律、行政法规规定应当办理批准、登记等手续后生效的合同，依照其规定。</w:t>
      </w:r>
    </w:p>
    <w:p w14:paraId="2D28B5F7">
      <w:pPr>
        <w:pStyle w:val="162"/>
        <w:keepNext w:val="0"/>
        <w:keepLines w:val="0"/>
        <w:tabs>
          <w:tab w:val="right" w:leader="dot" w:pos="9402"/>
        </w:tabs>
        <w:spacing w:before="0" w:after="0" w:line="480" w:lineRule="exact"/>
        <w:outlineLvl w:val="9"/>
        <w:rPr>
          <w:rFonts w:hint="default" w:ascii="Times New Roman" w:hAnsi="Times New Roman"/>
          <w:color w:val="000000"/>
          <w:sz w:val="21"/>
          <w:szCs w:val="21"/>
        </w:rPr>
      </w:pPr>
      <w:r>
        <w:rPr>
          <w:rFonts w:hint="default" w:ascii="Times New Roman" w:hAnsi="Times New Roman" w:eastAsia="宋体"/>
        </w:rPr>
        <w:br w:type="page"/>
      </w:r>
      <w:bookmarkStart w:id="78" w:name="_Toc76462348"/>
      <w:bookmarkStart w:id="79" w:name="_Toc106030904"/>
      <w:r>
        <w:rPr>
          <w:rFonts w:hint="default" w:ascii="Times New Roman" w:hAnsi="Times New Roman"/>
        </w:rPr>
        <w:t xml:space="preserve">第六篇  </w:t>
      </w:r>
      <w:bookmarkEnd w:id="76"/>
      <w:bookmarkEnd w:id="77"/>
      <w:bookmarkEnd w:id="78"/>
      <w:bookmarkEnd w:id="79"/>
      <w:r>
        <w:rPr>
          <w:rFonts w:hint="default" w:ascii="Times New Roman" w:hAnsi="Times New Roman"/>
          <w:color w:val="000000"/>
          <w:szCs w:val="36"/>
        </w:rPr>
        <w:t xml:space="preserve"> 合同草案条款</w:t>
      </w:r>
    </w:p>
    <w:p w14:paraId="0DD98BB1">
      <w:pPr>
        <w:pStyle w:val="162"/>
        <w:keepNext w:val="0"/>
        <w:keepLines w:val="0"/>
        <w:tabs>
          <w:tab w:val="right" w:leader="dot" w:pos="9402"/>
        </w:tabs>
        <w:spacing w:before="0" w:after="0" w:line="480" w:lineRule="exact"/>
        <w:outlineLvl w:val="9"/>
        <w:rPr>
          <w:rFonts w:hint="default" w:ascii="Times New Roman" w:hAnsi="Times New Roman"/>
          <w:color w:val="000000"/>
          <w:szCs w:val="36"/>
        </w:rPr>
      </w:pPr>
      <w:r>
        <w:rPr>
          <w:rFonts w:hint="default" w:ascii="Times New Roman" w:hAnsi="Times New Roman"/>
          <w:color w:val="000000"/>
          <w:szCs w:val="36"/>
        </w:rPr>
        <w:t>采购合同</w:t>
      </w:r>
    </w:p>
    <w:p w14:paraId="6DD0B94C">
      <w:pPr>
        <w:adjustRightInd w:val="0"/>
        <w:snapToGrid w:val="0"/>
        <w:spacing w:line="500" w:lineRule="exact"/>
        <w:jc w:val="center"/>
        <w:rPr>
          <w:rFonts w:eastAsia="方正仿宋_GBK"/>
          <w:color w:val="000000"/>
        </w:rPr>
      </w:pPr>
      <w:r>
        <w:rPr>
          <w:rFonts w:eastAsia="方正仿宋_GBK"/>
          <w:color w:val="000000"/>
        </w:rPr>
        <w:t>（项目号：     ）</w:t>
      </w:r>
    </w:p>
    <w:p w14:paraId="7B619B0E">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甲方（需方）：___________________________      计价单位：_____________</w:t>
      </w:r>
    </w:p>
    <w:p w14:paraId="6A86716D">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乙方（供方）：___________________________      计量单位：_____________</w:t>
      </w:r>
    </w:p>
    <w:p w14:paraId="42BA60DA">
      <w:pPr>
        <w:pStyle w:val="77"/>
        <w:spacing w:line="240" w:lineRule="auto"/>
        <w:ind w:firstLine="420"/>
        <w:rPr>
          <w:rFonts w:ascii="Times New Roman" w:hAnsi="Times New Roman" w:cs="Times New Roman"/>
          <w:color w:val="000000"/>
          <w:sz w:val="21"/>
          <w:szCs w:val="21"/>
        </w:rPr>
      </w:pPr>
    </w:p>
    <w:p w14:paraId="03226783">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经双方协商一致，达成以下购销合同：</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984"/>
        <w:gridCol w:w="589"/>
        <w:gridCol w:w="709"/>
        <w:gridCol w:w="1134"/>
        <w:gridCol w:w="1559"/>
        <w:gridCol w:w="1567"/>
        <w:gridCol w:w="15"/>
      </w:tblGrid>
      <w:tr w14:paraId="4E57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59E9B7AC">
            <w:pPr>
              <w:pStyle w:val="77"/>
              <w:spacing w:line="240" w:lineRule="auto"/>
              <w:ind w:firstLine="0" w:firstLineChars="0"/>
              <w:jc w:val="center"/>
              <w:rPr>
                <w:rFonts w:ascii="Times New Roman" w:hAnsi="Times New Roman" w:eastAsia="方正黑体_GBK" w:cs="Times New Roman"/>
                <w:color w:val="000000"/>
                <w:sz w:val="21"/>
                <w:szCs w:val="21"/>
              </w:rPr>
            </w:pPr>
            <w:r>
              <w:rPr>
                <w:rFonts w:ascii="Times New Roman" w:hAnsi="Times New Roman" w:eastAsia="方正黑体_GBK" w:cs="Times New Roman"/>
                <w:color w:val="000000"/>
                <w:sz w:val="21"/>
                <w:szCs w:val="21"/>
              </w:rPr>
              <w:t>项目名称</w:t>
            </w:r>
          </w:p>
        </w:tc>
        <w:tc>
          <w:tcPr>
            <w:tcW w:w="984" w:type="dxa"/>
            <w:vAlign w:val="center"/>
          </w:tcPr>
          <w:p w14:paraId="76382C55">
            <w:pPr>
              <w:pStyle w:val="77"/>
              <w:spacing w:line="240" w:lineRule="auto"/>
              <w:ind w:firstLine="0" w:firstLineChars="0"/>
              <w:jc w:val="center"/>
              <w:rPr>
                <w:rFonts w:ascii="Times New Roman" w:hAnsi="Times New Roman" w:eastAsia="方正黑体_GBK" w:cs="Times New Roman"/>
                <w:color w:val="000000"/>
                <w:sz w:val="21"/>
                <w:szCs w:val="21"/>
              </w:rPr>
            </w:pPr>
            <w:r>
              <w:rPr>
                <w:rFonts w:ascii="Times New Roman" w:hAnsi="Times New Roman" w:eastAsia="方正黑体_GBK" w:cs="Times New Roman"/>
                <w:color w:val="000000"/>
                <w:sz w:val="21"/>
                <w:szCs w:val="21"/>
              </w:rPr>
              <w:t>数量</w:t>
            </w:r>
          </w:p>
        </w:tc>
        <w:tc>
          <w:tcPr>
            <w:tcW w:w="1298" w:type="dxa"/>
            <w:gridSpan w:val="2"/>
            <w:vAlign w:val="center"/>
          </w:tcPr>
          <w:p w14:paraId="6409AA78">
            <w:pPr>
              <w:pStyle w:val="77"/>
              <w:spacing w:line="240" w:lineRule="auto"/>
              <w:ind w:firstLine="0" w:firstLineChars="0"/>
              <w:jc w:val="center"/>
              <w:rPr>
                <w:rFonts w:ascii="Times New Roman" w:hAnsi="Times New Roman" w:eastAsia="方正黑体_GBK" w:cs="Times New Roman"/>
                <w:color w:val="000000"/>
                <w:sz w:val="21"/>
                <w:szCs w:val="21"/>
              </w:rPr>
            </w:pPr>
            <w:r>
              <w:rPr>
                <w:rFonts w:ascii="Times New Roman" w:hAnsi="Times New Roman" w:eastAsia="方正黑体_GBK" w:cs="Times New Roman"/>
                <w:color w:val="000000"/>
                <w:sz w:val="21"/>
                <w:szCs w:val="21"/>
              </w:rPr>
              <w:t>综合单价</w:t>
            </w:r>
          </w:p>
        </w:tc>
        <w:tc>
          <w:tcPr>
            <w:tcW w:w="1134" w:type="dxa"/>
            <w:vAlign w:val="center"/>
          </w:tcPr>
          <w:p w14:paraId="61DDA584">
            <w:pPr>
              <w:pStyle w:val="77"/>
              <w:spacing w:line="240" w:lineRule="auto"/>
              <w:ind w:firstLine="0" w:firstLineChars="0"/>
              <w:jc w:val="center"/>
              <w:rPr>
                <w:rFonts w:ascii="Times New Roman" w:hAnsi="Times New Roman" w:eastAsia="方正黑体_GBK" w:cs="Times New Roman"/>
                <w:color w:val="000000"/>
                <w:sz w:val="21"/>
                <w:szCs w:val="21"/>
              </w:rPr>
            </w:pPr>
            <w:r>
              <w:rPr>
                <w:rFonts w:ascii="Times New Roman" w:hAnsi="Times New Roman" w:eastAsia="方正黑体_GBK" w:cs="Times New Roman"/>
                <w:color w:val="000000"/>
                <w:sz w:val="21"/>
                <w:szCs w:val="21"/>
              </w:rPr>
              <w:t>总价</w:t>
            </w:r>
          </w:p>
        </w:tc>
        <w:tc>
          <w:tcPr>
            <w:tcW w:w="1559" w:type="dxa"/>
            <w:vAlign w:val="center"/>
          </w:tcPr>
          <w:p w14:paraId="0F23B6B0">
            <w:pPr>
              <w:pStyle w:val="77"/>
              <w:spacing w:line="240" w:lineRule="auto"/>
              <w:ind w:firstLine="0" w:firstLineChars="0"/>
              <w:jc w:val="center"/>
              <w:rPr>
                <w:rFonts w:ascii="Times New Roman" w:hAnsi="Times New Roman" w:eastAsia="方正黑体_GBK" w:cs="Times New Roman"/>
                <w:color w:val="000000"/>
                <w:sz w:val="21"/>
                <w:szCs w:val="21"/>
              </w:rPr>
            </w:pPr>
            <w:r>
              <w:rPr>
                <w:rFonts w:ascii="Times New Roman" w:hAnsi="Times New Roman" w:eastAsia="方正黑体_GBK" w:cs="Times New Roman"/>
                <w:color w:val="000000"/>
                <w:sz w:val="21"/>
                <w:szCs w:val="21"/>
              </w:rPr>
              <w:t>服务时间</w:t>
            </w:r>
          </w:p>
        </w:tc>
        <w:tc>
          <w:tcPr>
            <w:tcW w:w="1567" w:type="dxa"/>
            <w:vAlign w:val="center"/>
          </w:tcPr>
          <w:p w14:paraId="68242978">
            <w:pPr>
              <w:pStyle w:val="77"/>
              <w:spacing w:line="240" w:lineRule="auto"/>
              <w:ind w:firstLine="0" w:firstLineChars="0"/>
              <w:jc w:val="center"/>
              <w:rPr>
                <w:rFonts w:ascii="Times New Roman" w:hAnsi="Times New Roman" w:eastAsia="方正黑体_GBK" w:cs="Times New Roman"/>
                <w:color w:val="000000"/>
                <w:sz w:val="21"/>
                <w:szCs w:val="21"/>
              </w:rPr>
            </w:pPr>
            <w:r>
              <w:rPr>
                <w:rFonts w:ascii="Times New Roman" w:hAnsi="Times New Roman" w:eastAsia="方正黑体_GBK" w:cs="Times New Roman"/>
                <w:color w:val="000000"/>
                <w:sz w:val="21"/>
                <w:szCs w:val="21"/>
              </w:rPr>
              <w:t>服务地点</w:t>
            </w:r>
          </w:p>
        </w:tc>
      </w:tr>
      <w:tr w14:paraId="672E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19A8C2B1">
            <w:pPr>
              <w:pStyle w:val="77"/>
              <w:spacing w:line="240" w:lineRule="auto"/>
              <w:ind w:firstLine="420"/>
              <w:rPr>
                <w:rFonts w:ascii="Times New Roman" w:hAnsi="Times New Roman" w:cs="Times New Roman"/>
                <w:color w:val="000000"/>
                <w:sz w:val="21"/>
                <w:szCs w:val="21"/>
              </w:rPr>
            </w:pPr>
          </w:p>
        </w:tc>
        <w:tc>
          <w:tcPr>
            <w:tcW w:w="984" w:type="dxa"/>
            <w:vAlign w:val="center"/>
          </w:tcPr>
          <w:p w14:paraId="7A41CD2D">
            <w:pPr>
              <w:pStyle w:val="77"/>
              <w:spacing w:line="240" w:lineRule="auto"/>
              <w:ind w:firstLine="420"/>
              <w:rPr>
                <w:rFonts w:ascii="Times New Roman" w:hAnsi="Times New Roman" w:cs="Times New Roman"/>
                <w:color w:val="000000"/>
                <w:sz w:val="21"/>
                <w:szCs w:val="21"/>
              </w:rPr>
            </w:pPr>
          </w:p>
        </w:tc>
        <w:tc>
          <w:tcPr>
            <w:tcW w:w="1298" w:type="dxa"/>
            <w:gridSpan w:val="2"/>
            <w:vAlign w:val="center"/>
          </w:tcPr>
          <w:p w14:paraId="49691F20">
            <w:pPr>
              <w:pStyle w:val="77"/>
              <w:spacing w:line="240" w:lineRule="auto"/>
              <w:ind w:firstLine="420"/>
              <w:rPr>
                <w:rFonts w:ascii="Times New Roman" w:hAnsi="Times New Roman" w:cs="Times New Roman"/>
                <w:color w:val="000000"/>
                <w:sz w:val="21"/>
                <w:szCs w:val="21"/>
              </w:rPr>
            </w:pPr>
          </w:p>
        </w:tc>
        <w:tc>
          <w:tcPr>
            <w:tcW w:w="1134" w:type="dxa"/>
            <w:vAlign w:val="center"/>
          </w:tcPr>
          <w:p w14:paraId="60DBD821">
            <w:pPr>
              <w:pStyle w:val="77"/>
              <w:spacing w:line="240" w:lineRule="auto"/>
              <w:ind w:firstLine="420"/>
              <w:rPr>
                <w:rFonts w:ascii="Times New Roman" w:hAnsi="Times New Roman" w:cs="Times New Roman"/>
                <w:color w:val="000000"/>
                <w:sz w:val="21"/>
                <w:szCs w:val="21"/>
              </w:rPr>
            </w:pPr>
          </w:p>
        </w:tc>
        <w:tc>
          <w:tcPr>
            <w:tcW w:w="1559" w:type="dxa"/>
            <w:vAlign w:val="center"/>
          </w:tcPr>
          <w:p w14:paraId="6CFF4B18">
            <w:pPr>
              <w:pStyle w:val="77"/>
              <w:spacing w:line="240" w:lineRule="auto"/>
              <w:ind w:firstLine="420"/>
              <w:rPr>
                <w:rFonts w:ascii="Times New Roman" w:hAnsi="Times New Roman" w:cs="Times New Roman"/>
                <w:color w:val="000000"/>
                <w:sz w:val="21"/>
                <w:szCs w:val="21"/>
              </w:rPr>
            </w:pPr>
          </w:p>
        </w:tc>
        <w:tc>
          <w:tcPr>
            <w:tcW w:w="1567" w:type="dxa"/>
            <w:vAlign w:val="center"/>
          </w:tcPr>
          <w:p w14:paraId="18F0C125">
            <w:pPr>
              <w:pStyle w:val="77"/>
              <w:spacing w:line="240" w:lineRule="auto"/>
              <w:ind w:firstLine="420"/>
              <w:rPr>
                <w:rFonts w:ascii="Times New Roman" w:hAnsi="Times New Roman" w:cs="Times New Roman"/>
                <w:color w:val="000000"/>
                <w:sz w:val="21"/>
                <w:szCs w:val="21"/>
              </w:rPr>
            </w:pPr>
          </w:p>
        </w:tc>
      </w:tr>
      <w:tr w14:paraId="5C1D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7BD07247">
            <w:pPr>
              <w:pStyle w:val="77"/>
              <w:spacing w:line="240" w:lineRule="auto"/>
              <w:ind w:firstLine="420"/>
              <w:rPr>
                <w:rFonts w:ascii="Times New Roman" w:hAnsi="Times New Roman" w:cs="Times New Roman"/>
                <w:color w:val="000000"/>
                <w:sz w:val="21"/>
                <w:szCs w:val="21"/>
              </w:rPr>
            </w:pPr>
          </w:p>
        </w:tc>
        <w:tc>
          <w:tcPr>
            <w:tcW w:w="984" w:type="dxa"/>
            <w:vAlign w:val="center"/>
          </w:tcPr>
          <w:p w14:paraId="06BCFF77">
            <w:pPr>
              <w:pStyle w:val="77"/>
              <w:spacing w:line="240" w:lineRule="auto"/>
              <w:ind w:firstLine="420"/>
              <w:rPr>
                <w:rFonts w:ascii="Times New Roman" w:hAnsi="Times New Roman" w:cs="Times New Roman"/>
                <w:color w:val="000000"/>
                <w:sz w:val="21"/>
                <w:szCs w:val="21"/>
              </w:rPr>
            </w:pPr>
          </w:p>
        </w:tc>
        <w:tc>
          <w:tcPr>
            <w:tcW w:w="1298" w:type="dxa"/>
            <w:gridSpan w:val="2"/>
            <w:vAlign w:val="center"/>
          </w:tcPr>
          <w:p w14:paraId="1BA11A7A">
            <w:pPr>
              <w:pStyle w:val="77"/>
              <w:spacing w:line="240" w:lineRule="auto"/>
              <w:ind w:firstLine="420"/>
              <w:rPr>
                <w:rFonts w:ascii="Times New Roman" w:hAnsi="Times New Roman" w:cs="Times New Roman"/>
                <w:color w:val="000000"/>
                <w:sz w:val="21"/>
                <w:szCs w:val="21"/>
              </w:rPr>
            </w:pPr>
          </w:p>
        </w:tc>
        <w:tc>
          <w:tcPr>
            <w:tcW w:w="1134" w:type="dxa"/>
            <w:vAlign w:val="center"/>
          </w:tcPr>
          <w:p w14:paraId="0E816E2D">
            <w:pPr>
              <w:pStyle w:val="77"/>
              <w:spacing w:line="240" w:lineRule="auto"/>
              <w:ind w:firstLine="420"/>
              <w:rPr>
                <w:rFonts w:ascii="Times New Roman" w:hAnsi="Times New Roman" w:cs="Times New Roman"/>
                <w:color w:val="000000"/>
                <w:sz w:val="21"/>
                <w:szCs w:val="21"/>
              </w:rPr>
            </w:pPr>
          </w:p>
        </w:tc>
        <w:tc>
          <w:tcPr>
            <w:tcW w:w="1559" w:type="dxa"/>
            <w:vAlign w:val="center"/>
          </w:tcPr>
          <w:p w14:paraId="166C5C23">
            <w:pPr>
              <w:pStyle w:val="77"/>
              <w:spacing w:line="240" w:lineRule="auto"/>
              <w:ind w:firstLine="420"/>
              <w:rPr>
                <w:rFonts w:ascii="Times New Roman" w:hAnsi="Times New Roman" w:cs="Times New Roman"/>
                <w:color w:val="000000"/>
                <w:sz w:val="21"/>
                <w:szCs w:val="21"/>
              </w:rPr>
            </w:pPr>
          </w:p>
        </w:tc>
        <w:tc>
          <w:tcPr>
            <w:tcW w:w="1567" w:type="dxa"/>
            <w:vAlign w:val="center"/>
          </w:tcPr>
          <w:p w14:paraId="56176F7F">
            <w:pPr>
              <w:pStyle w:val="77"/>
              <w:spacing w:line="240" w:lineRule="auto"/>
              <w:ind w:firstLine="420"/>
              <w:rPr>
                <w:rFonts w:ascii="Times New Roman" w:hAnsi="Times New Roman" w:cs="Times New Roman"/>
                <w:color w:val="000000"/>
                <w:sz w:val="21"/>
                <w:szCs w:val="21"/>
              </w:rPr>
            </w:pPr>
          </w:p>
        </w:tc>
      </w:tr>
      <w:tr w14:paraId="7AB3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6BD03B16">
            <w:pPr>
              <w:pStyle w:val="77"/>
              <w:spacing w:line="240" w:lineRule="auto"/>
              <w:ind w:firstLine="420"/>
              <w:rPr>
                <w:rFonts w:ascii="Times New Roman" w:hAnsi="Times New Roman" w:cs="Times New Roman"/>
                <w:color w:val="000000"/>
                <w:sz w:val="21"/>
                <w:szCs w:val="21"/>
              </w:rPr>
            </w:pPr>
          </w:p>
        </w:tc>
        <w:tc>
          <w:tcPr>
            <w:tcW w:w="984" w:type="dxa"/>
            <w:vAlign w:val="center"/>
          </w:tcPr>
          <w:p w14:paraId="2E77B966">
            <w:pPr>
              <w:pStyle w:val="77"/>
              <w:spacing w:line="240" w:lineRule="auto"/>
              <w:ind w:firstLine="420"/>
              <w:rPr>
                <w:rFonts w:ascii="Times New Roman" w:hAnsi="Times New Roman" w:cs="Times New Roman"/>
                <w:color w:val="000000"/>
                <w:sz w:val="21"/>
                <w:szCs w:val="21"/>
              </w:rPr>
            </w:pPr>
          </w:p>
        </w:tc>
        <w:tc>
          <w:tcPr>
            <w:tcW w:w="1298" w:type="dxa"/>
            <w:gridSpan w:val="2"/>
            <w:vAlign w:val="center"/>
          </w:tcPr>
          <w:p w14:paraId="42104204">
            <w:pPr>
              <w:pStyle w:val="77"/>
              <w:spacing w:line="240" w:lineRule="auto"/>
              <w:ind w:firstLine="420"/>
              <w:rPr>
                <w:rFonts w:ascii="Times New Roman" w:hAnsi="Times New Roman" w:cs="Times New Roman"/>
                <w:color w:val="000000"/>
                <w:sz w:val="21"/>
                <w:szCs w:val="21"/>
              </w:rPr>
            </w:pPr>
          </w:p>
        </w:tc>
        <w:tc>
          <w:tcPr>
            <w:tcW w:w="1134" w:type="dxa"/>
            <w:vAlign w:val="center"/>
          </w:tcPr>
          <w:p w14:paraId="04C163A1">
            <w:pPr>
              <w:pStyle w:val="77"/>
              <w:spacing w:line="240" w:lineRule="auto"/>
              <w:ind w:firstLine="420"/>
              <w:rPr>
                <w:rFonts w:ascii="Times New Roman" w:hAnsi="Times New Roman" w:cs="Times New Roman"/>
                <w:color w:val="000000"/>
                <w:sz w:val="21"/>
                <w:szCs w:val="21"/>
              </w:rPr>
            </w:pPr>
          </w:p>
        </w:tc>
        <w:tc>
          <w:tcPr>
            <w:tcW w:w="1559" w:type="dxa"/>
            <w:vAlign w:val="center"/>
          </w:tcPr>
          <w:p w14:paraId="0A17D89B">
            <w:pPr>
              <w:pStyle w:val="77"/>
              <w:spacing w:line="240" w:lineRule="auto"/>
              <w:ind w:firstLine="420"/>
              <w:rPr>
                <w:rFonts w:ascii="Times New Roman" w:hAnsi="Times New Roman" w:cs="Times New Roman"/>
                <w:color w:val="000000"/>
                <w:sz w:val="21"/>
                <w:szCs w:val="21"/>
              </w:rPr>
            </w:pPr>
          </w:p>
        </w:tc>
        <w:tc>
          <w:tcPr>
            <w:tcW w:w="1567" w:type="dxa"/>
            <w:vAlign w:val="center"/>
          </w:tcPr>
          <w:p w14:paraId="4FDD5FDD">
            <w:pPr>
              <w:pStyle w:val="77"/>
              <w:spacing w:line="240" w:lineRule="auto"/>
              <w:ind w:firstLine="420"/>
              <w:rPr>
                <w:rFonts w:ascii="Times New Roman" w:hAnsi="Times New Roman" w:cs="Times New Roman"/>
                <w:color w:val="000000"/>
                <w:sz w:val="21"/>
                <w:szCs w:val="21"/>
              </w:rPr>
            </w:pPr>
          </w:p>
        </w:tc>
      </w:tr>
      <w:tr w14:paraId="3C2B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550B2F54">
            <w:pPr>
              <w:pStyle w:val="77"/>
              <w:spacing w:line="240" w:lineRule="auto"/>
              <w:ind w:firstLine="420"/>
              <w:rPr>
                <w:rFonts w:ascii="Times New Roman" w:hAnsi="Times New Roman" w:cs="Times New Roman"/>
                <w:color w:val="000000"/>
                <w:sz w:val="21"/>
                <w:szCs w:val="21"/>
              </w:rPr>
            </w:pPr>
          </w:p>
        </w:tc>
        <w:tc>
          <w:tcPr>
            <w:tcW w:w="984" w:type="dxa"/>
            <w:vAlign w:val="center"/>
          </w:tcPr>
          <w:p w14:paraId="292380A9">
            <w:pPr>
              <w:pStyle w:val="77"/>
              <w:spacing w:line="240" w:lineRule="auto"/>
              <w:ind w:firstLine="420"/>
              <w:rPr>
                <w:rFonts w:ascii="Times New Roman" w:hAnsi="Times New Roman" w:cs="Times New Roman"/>
                <w:color w:val="000000"/>
                <w:sz w:val="21"/>
                <w:szCs w:val="21"/>
              </w:rPr>
            </w:pPr>
          </w:p>
        </w:tc>
        <w:tc>
          <w:tcPr>
            <w:tcW w:w="1298" w:type="dxa"/>
            <w:gridSpan w:val="2"/>
            <w:vAlign w:val="center"/>
          </w:tcPr>
          <w:p w14:paraId="520B9063">
            <w:pPr>
              <w:pStyle w:val="77"/>
              <w:spacing w:line="240" w:lineRule="auto"/>
              <w:ind w:firstLine="420"/>
              <w:rPr>
                <w:rFonts w:ascii="Times New Roman" w:hAnsi="Times New Roman" w:cs="Times New Roman"/>
                <w:color w:val="000000"/>
                <w:sz w:val="21"/>
                <w:szCs w:val="21"/>
              </w:rPr>
            </w:pPr>
          </w:p>
        </w:tc>
        <w:tc>
          <w:tcPr>
            <w:tcW w:w="1134" w:type="dxa"/>
            <w:vAlign w:val="center"/>
          </w:tcPr>
          <w:p w14:paraId="20AEFA43">
            <w:pPr>
              <w:pStyle w:val="77"/>
              <w:spacing w:line="240" w:lineRule="auto"/>
              <w:ind w:firstLine="420"/>
              <w:rPr>
                <w:rFonts w:ascii="Times New Roman" w:hAnsi="Times New Roman" w:cs="Times New Roman"/>
                <w:color w:val="000000"/>
                <w:sz w:val="21"/>
                <w:szCs w:val="21"/>
              </w:rPr>
            </w:pPr>
          </w:p>
        </w:tc>
        <w:tc>
          <w:tcPr>
            <w:tcW w:w="1559" w:type="dxa"/>
            <w:vAlign w:val="center"/>
          </w:tcPr>
          <w:p w14:paraId="73C39D13">
            <w:pPr>
              <w:pStyle w:val="77"/>
              <w:spacing w:line="240" w:lineRule="auto"/>
              <w:ind w:firstLine="420"/>
              <w:rPr>
                <w:rFonts w:ascii="Times New Roman" w:hAnsi="Times New Roman" w:cs="Times New Roman"/>
                <w:color w:val="000000"/>
                <w:sz w:val="21"/>
                <w:szCs w:val="21"/>
              </w:rPr>
            </w:pPr>
          </w:p>
        </w:tc>
        <w:tc>
          <w:tcPr>
            <w:tcW w:w="1567" w:type="dxa"/>
            <w:vAlign w:val="center"/>
          </w:tcPr>
          <w:p w14:paraId="326DDFB5">
            <w:pPr>
              <w:pStyle w:val="77"/>
              <w:spacing w:line="240" w:lineRule="auto"/>
              <w:ind w:firstLine="420"/>
              <w:rPr>
                <w:rFonts w:ascii="Times New Roman" w:hAnsi="Times New Roman" w:cs="Times New Roman"/>
                <w:color w:val="000000"/>
                <w:sz w:val="21"/>
                <w:szCs w:val="21"/>
              </w:rPr>
            </w:pPr>
          </w:p>
        </w:tc>
      </w:tr>
      <w:tr w14:paraId="4FF5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vAlign w:val="center"/>
          </w:tcPr>
          <w:p w14:paraId="7E63A670">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合计人民币（小写）：</w:t>
            </w:r>
          </w:p>
        </w:tc>
      </w:tr>
      <w:tr w14:paraId="4257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vAlign w:val="center"/>
          </w:tcPr>
          <w:p w14:paraId="0A142837">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合计人民币（大写）：</w:t>
            </w:r>
          </w:p>
        </w:tc>
      </w:tr>
      <w:tr w14:paraId="62A5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776" w:hRule="atLeast"/>
        </w:trPr>
        <w:tc>
          <w:tcPr>
            <w:tcW w:w="9613" w:type="dxa"/>
            <w:gridSpan w:val="7"/>
          </w:tcPr>
          <w:p w14:paraId="305FB4BD">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一、服务要求</w:t>
            </w:r>
          </w:p>
        </w:tc>
      </w:tr>
      <w:tr w14:paraId="3FB8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9628" w:type="dxa"/>
            <w:gridSpan w:val="8"/>
          </w:tcPr>
          <w:p w14:paraId="02638A2C">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二、考核方式</w:t>
            </w:r>
          </w:p>
        </w:tc>
      </w:tr>
      <w:tr w14:paraId="28E8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tcPr>
          <w:p w14:paraId="1EE21559">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三、付款方式</w:t>
            </w:r>
          </w:p>
          <w:p w14:paraId="6259C508">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中标供应商出具正规发票后，医院根据医院财务制度一次性支付全部保费。</w:t>
            </w:r>
          </w:p>
        </w:tc>
      </w:tr>
      <w:tr w14:paraId="3888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tcPr>
          <w:p w14:paraId="010C4223">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四、违约责任</w:t>
            </w:r>
          </w:p>
          <w:p w14:paraId="4E51F09C">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按《中华人民共和国民法典》、《政府采购法》执行，或按双方约定。</w:t>
            </w:r>
          </w:p>
        </w:tc>
      </w:tr>
      <w:tr w14:paraId="11C6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tcPr>
          <w:p w14:paraId="67509F5C">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五、其他约定事项</w:t>
            </w:r>
          </w:p>
          <w:p w14:paraId="1AFE68BC">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1.采购文件及其补遗文件、响应文件和承诺是本合同不可分割的部分。</w:t>
            </w:r>
          </w:p>
          <w:p w14:paraId="2D04C5BF">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2.本合同如发生争议由双方协商解决，协商不成向需方所在人民法院提请诉讼。</w:t>
            </w:r>
          </w:p>
          <w:p w14:paraId="2B22F4DF">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3.本合同一式__份，需方__份，供方__份，具同等法律效力。</w:t>
            </w:r>
          </w:p>
          <w:p w14:paraId="7718E999">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4.其他：</w:t>
            </w:r>
          </w:p>
        </w:tc>
      </w:tr>
      <w:tr w14:paraId="17F8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gridSpan w:val="3"/>
          </w:tcPr>
          <w:p w14:paraId="07B274F3">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需方：</w:t>
            </w:r>
          </w:p>
          <w:p w14:paraId="643D39E2">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地址：</w:t>
            </w:r>
          </w:p>
          <w:p w14:paraId="1BE2885E">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联系电话：</w:t>
            </w:r>
          </w:p>
          <w:p w14:paraId="5C963BE3">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授权代表：</w:t>
            </w:r>
          </w:p>
        </w:tc>
        <w:tc>
          <w:tcPr>
            <w:tcW w:w="4984" w:type="dxa"/>
            <w:gridSpan w:val="5"/>
          </w:tcPr>
          <w:p w14:paraId="0A846715">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供方：</w:t>
            </w:r>
          </w:p>
          <w:p w14:paraId="14734E86">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地址：</w:t>
            </w:r>
          </w:p>
          <w:p w14:paraId="26981F82">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电话：</w:t>
            </w:r>
          </w:p>
          <w:p w14:paraId="34FD73E0">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传真：</w:t>
            </w:r>
          </w:p>
          <w:p w14:paraId="7A53344F">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开户银行：</w:t>
            </w:r>
          </w:p>
          <w:p w14:paraId="650AB607">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账号：</w:t>
            </w:r>
          </w:p>
          <w:p w14:paraId="66F62A25">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授权代表：</w:t>
            </w:r>
          </w:p>
          <w:p w14:paraId="0CBBB419">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（本栏请用计算机打印以便于准确付款）</w:t>
            </w:r>
          </w:p>
        </w:tc>
      </w:tr>
      <w:tr w14:paraId="4D2D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tcPr>
          <w:p w14:paraId="3F6BC7B5">
            <w:pPr>
              <w:pStyle w:val="77"/>
              <w:spacing w:line="240" w:lineRule="auto"/>
              <w:ind w:firstLine="420"/>
              <w:rPr>
                <w:rFonts w:ascii="Times New Roman" w:hAnsi="Times New Roman" w:cs="Times New Roman"/>
                <w:color w:val="000000"/>
                <w:sz w:val="21"/>
                <w:szCs w:val="21"/>
              </w:rPr>
            </w:pPr>
            <w:r>
              <w:rPr>
                <w:rFonts w:ascii="Times New Roman" w:hAnsi="Times New Roman" w:cs="Times New Roman"/>
                <w:color w:val="000000"/>
                <w:sz w:val="21"/>
                <w:szCs w:val="21"/>
              </w:rPr>
              <w:t>备注：</w:t>
            </w:r>
          </w:p>
          <w:p w14:paraId="24D952AE">
            <w:pPr>
              <w:pStyle w:val="77"/>
              <w:spacing w:line="240" w:lineRule="auto"/>
              <w:ind w:firstLine="420"/>
              <w:rPr>
                <w:rFonts w:ascii="Times New Roman" w:hAnsi="Times New Roman" w:cs="Times New Roman"/>
                <w:color w:val="000000"/>
                <w:sz w:val="21"/>
                <w:szCs w:val="21"/>
              </w:rPr>
            </w:pPr>
          </w:p>
          <w:p w14:paraId="4045B494">
            <w:pPr>
              <w:pStyle w:val="77"/>
              <w:spacing w:line="240" w:lineRule="auto"/>
              <w:ind w:firstLine="420"/>
              <w:rPr>
                <w:rFonts w:ascii="Times New Roman" w:hAnsi="Times New Roman" w:cs="Times New Roman"/>
                <w:color w:val="000000"/>
                <w:sz w:val="21"/>
                <w:szCs w:val="21"/>
              </w:rPr>
            </w:pPr>
          </w:p>
        </w:tc>
      </w:tr>
    </w:tbl>
    <w:p w14:paraId="615538B0">
      <w:pPr>
        <w:pStyle w:val="77"/>
        <w:spacing w:line="240" w:lineRule="auto"/>
        <w:ind w:firstLine="420"/>
        <w:rPr>
          <w:rFonts w:ascii="Times New Roman" w:hAnsi="Times New Roman" w:cs="Times New Roman"/>
        </w:rPr>
        <w:sectPr>
          <w:footerReference r:id="rId8" w:type="default"/>
          <w:pgSz w:w="11907" w:h="16840"/>
          <w:pgMar w:top="1134" w:right="1191" w:bottom="1134" w:left="1304" w:header="851" w:footer="992" w:gutter="0"/>
          <w:cols w:space="720" w:num="1"/>
          <w:docGrid w:linePitch="380" w:charSpace="-5735"/>
        </w:sectPr>
      </w:pPr>
      <w:r>
        <w:rPr>
          <w:rFonts w:ascii="Times New Roman" w:hAnsi="Times New Roman" w:cs="Times New Roman"/>
          <w:color w:val="000000"/>
          <w:sz w:val="21"/>
          <w:szCs w:val="21"/>
        </w:rPr>
        <w:t>签约时间：           年   月   日      签约地点：</w:t>
      </w:r>
    </w:p>
    <w:p w14:paraId="1D6CA02A">
      <w:pPr>
        <w:pStyle w:val="77"/>
        <w:ind w:firstLine="0" w:firstLineChars="0"/>
        <w:rPr>
          <w:rFonts w:ascii="Times New Roman" w:hAnsi="Times New Roman" w:cs="Times New Roman"/>
        </w:rPr>
      </w:pPr>
    </w:p>
    <w:p w14:paraId="6B493822">
      <w:pPr>
        <w:pStyle w:val="3"/>
        <w:spacing w:before="0" w:after="0" w:line="360" w:lineRule="auto"/>
        <w:jc w:val="center"/>
        <w:rPr>
          <w:rFonts w:ascii="Times New Roman" w:hAnsi="Times New Roman" w:eastAsia="方正小标宋_GBK"/>
          <w:b w:val="0"/>
          <w:sz w:val="36"/>
          <w:szCs w:val="30"/>
        </w:rPr>
      </w:pPr>
      <w:bookmarkStart w:id="80" w:name="_Hlt41879464"/>
      <w:bookmarkEnd w:id="80"/>
      <w:bookmarkStart w:id="81" w:name="_Toc106030905"/>
      <w:bookmarkStart w:id="82" w:name="_Toc76462349"/>
      <w:r>
        <w:rPr>
          <w:rFonts w:ascii="Times New Roman" w:hAnsi="Times New Roman" w:eastAsia="方正小标宋_GBK"/>
          <w:b w:val="0"/>
          <w:sz w:val="36"/>
          <w:szCs w:val="30"/>
        </w:rPr>
        <w:t>第七篇  响应文件编制要求</w:t>
      </w:r>
      <w:bookmarkEnd w:id="81"/>
      <w:bookmarkEnd w:id="82"/>
    </w:p>
    <w:p w14:paraId="72FB5820">
      <w:pPr>
        <w:spacing w:line="400" w:lineRule="exact"/>
        <w:ind w:firstLine="480" w:firstLineChars="200"/>
        <w:rPr>
          <w:rFonts w:eastAsia="方正仿宋_GBK"/>
          <w:sz w:val="24"/>
          <w:szCs w:val="24"/>
        </w:rPr>
      </w:pPr>
      <w:r>
        <w:rPr>
          <w:rFonts w:eastAsia="方正仿宋_GBK"/>
          <w:sz w:val="24"/>
          <w:szCs w:val="24"/>
        </w:rPr>
        <w:t>一、经济部分</w:t>
      </w:r>
    </w:p>
    <w:p w14:paraId="2F70B37F">
      <w:pPr>
        <w:spacing w:line="400" w:lineRule="exact"/>
        <w:ind w:firstLine="480" w:firstLineChars="200"/>
        <w:rPr>
          <w:rFonts w:eastAsia="方正仿宋_GBK"/>
          <w:sz w:val="24"/>
          <w:szCs w:val="24"/>
        </w:rPr>
      </w:pPr>
      <w:r>
        <w:rPr>
          <w:rFonts w:eastAsia="方正仿宋_GBK"/>
          <w:sz w:val="24"/>
          <w:szCs w:val="24"/>
        </w:rPr>
        <w:t>（一）报价函</w:t>
      </w:r>
    </w:p>
    <w:p w14:paraId="11A2C9F5">
      <w:pPr>
        <w:spacing w:line="400" w:lineRule="exact"/>
        <w:ind w:firstLine="480" w:firstLineChars="200"/>
        <w:rPr>
          <w:rFonts w:eastAsia="方正仿宋_GBK"/>
          <w:sz w:val="24"/>
          <w:szCs w:val="24"/>
        </w:rPr>
      </w:pPr>
      <w:r>
        <w:rPr>
          <w:rFonts w:eastAsia="方正仿宋_GBK"/>
          <w:sz w:val="24"/>
          <w:szCs w:val="24"/>
        </w:rPr>
        <w:t>（二）明细报价表</w:t>
      </w:r>
    </w:p>
    <w:p w14:paraId="2D2A8609">
      <w:pPr>
        <w:spacing w:line="400" w:lineRule="exact"/>
        <w:ind w:firstLine="480" w:firstLineChars="200"/>
        <w:rPr>
          <w:rFonts w:eastAsia="方正仿宋_GBK"/>
          <w:sz w:val="24"/>
          <w:szCs w:val="24"/>
        </w:rPr>
      </w:pPr>
      <w:r>
        <w:rPr>
          <w:rFonts w:eastAsia="方正仿宋_GBK"/>
          <w:sz w:val="24"/>
          <w:szCs w:val="24"/>
        </w:rPr>
        <w:t>二、</w:t>
      </w:r>
      <w:r>
        <w:rPr>
          <w:rFonts w:hint="eastAsia" w:eastAsia="方正仿宋_GBK"/>
          <w:sz w:val="24"/>
          <w:szCs w:val="24"/>
        </w:rPr>
        <w:t>技术、</w:t>
      </w:r>
      <w:r>
        <w:rPr>
          <w:rFonts w:eastAsia="方正仿宋_GBK"/>
          <w:sz w:val="24"/>
          <w:szCs w:val="24"/>
        </w:rPr>
        <w:t>服务部分</w:t>
      </w:r>
    </w:p>
    <w:p w14:paraId="5364CC6D">
      <w:pPr>
        <w:spacing w:line="400" w:lineRule="exact"/>
        <w:ind w:firstLine="480" w:firstLineChars="200"/>
        <w:rPr>
          <w:rFonts w:eastAsia="方正仿宋_GBK"/>
          <w:sz w:val="24"/>
          <w:szCs w:val="24"/>
        </w:rPr>
      </w:pPr>
      <w:r>
        <w:rPr>
          <w:rFonts w:eastAsia="方正仿宋_GBK"/>
          <w:sz w:val="24"/>
          <w:szCs w:val="24"/>
        </w:rPr>
        <w:t>（一）</w:t>
      </w:r>
      <w:r>
        <w:rPr>
          <w:rFonts w:hint="eastAsia" w:eastAsia="方正仿宋_GBK"/>
          <w:sz w:val="24"/>
          <w:szCs w:val="24"/>
        </w:rPr>
        <w:t>技术、</w:t>
      </w:r>
      <w:r>
        <w:rPr>
          <w:rFonts w:eastAsia="方正仿宋_GBK"/>
          <w:sz w:val="24"/>
          <w:szCs w:val="24"/>
        </w:rPr>
        <w:t>服务响应偏离表</w:t>
      </w:r>
    </w:p>
    <w:p w14:paraId="5D036489">
      <w:pPr>
        <w:spacing w:line="400" w:lineRule="exact"/>
        <w:ind w:firstLine="480" w:firstLineChars="200"/>
        <w:rPr>
          <w:rFonts w:eastAsia="方正仿宋_GBK"/>
          <w:sz w:val="24"/>
          <w:szCs w:val="24"/>
        </w:rPr>
      </w:pPr>
      <w:r>
        <w:rPr>
          <w:rFonts w:eastAsia="方正仿宋_GBK"/>
          <w:sz w:val="24"/>
          <w:szCs w:val="24"/>
        </w:rPr>
        <w:t>（二）其他资料（格式自定）</w:t>
      </w:r>
    </w:p>
    <w:p w14:paraId="6634CE08">
      <w:pPr>
        <w:spacing w:line="400" w:lineRule="exact"/>
        <w:ind w:firstLine="480" w:firstLineChars="200"/>
        <w:rPr>
          <w:rFonts w:eastAsia="方正仿宋_GBK"/>
          <w:sz w:val="24"/>
          <w:szCs w:val="24"/>
        </w:rPr>
      </w:pPr>
      <w:r>
        <w:rPr>
          <w:rFonts w:eastAsia="方正仿宋_GBK"/>
          <w:sz w:val="24"/>
          <w:szCs w:val="24"/>
        </w:rPr>
        <w:t>三、商务部分</w:t>
      </w:r>
    </w:p>
    <w:p w14:paraId="12D10930">
      <w:pPr>
        <w:spacing w:line="400" w:lineRule="exact"/>
        <w:ind w:firstLine="480" w:firstLineChars="200"/>
        <w:rPr>
          <w:rFonts w:eastAsia="方正仿宋_GBK"/>
          <w:sz w:val="24"/>
          <w:szCs w:val="24"/>
        </w:rPr>
      </w:pPr>
      <w:r>
        <w:rPr>
          <w:rFonts w:eastAsia="方正仿宋_GBK"/>
          <w:sz w:val="24"/>
          <w:szCs w:val="24"/>
        </w:rPr>
        <w:t>（一）商务响应偏离表</w:t>
      </w:r>
    </w:p>
    <w:p w14:paraId="785A28B6">
      <w:pPr>
        <w:spacing w:line="400" w:lineRule="exact"/>
        <w:ind w:firstLine="480" w:firstLineChars="200"/>
        <w:rPr>
          <w:rFonts w:eastAsia="方正仿宋_GBK"/>
          <w:sz w:val="24"/>
          <w:szCs w:val="24"/>
        </w:rPr>
      </w:pPr>
      <w:r>
        <w:rPr>
          <w:rFonts w:eastAsia="方正仿宋_GBK"/>
          <w:sz w:val="24"/>
          <w:szCs w:val="24"/>
        </w:rPr>
        <w:t>（二）其它优惠服务承诺（格式自定）</w:t>
      </w:r>
    </w:p>
    <w:p w14:paraId="35D8C9C0">
      <w:pPr>
        <w:spacing w:line="400" w:lineRule="exact"/>
        <w:ind w:firstLine="480" w:firstLineChars="200"/>
        <w:rPr>
          <w:rFonts w:eastAsia="方正仿宋_GBK"/>
          <w:sz w:val="24"/>
          <w:szCs w:val="24"/>
        </w:rPr>
      </w:pPr>
      <w:r>
        <w:rPr>
          <w:rFonts w:eastAsia="方正仿宋_GBK"/>
          <w:sz w:val="24"/>
          <w:szCs w:val="24"/>
        </w:rPr>
        <w:t>四、资格条件及其他</w:t>
      </w:r>
    </w:p>
    <w:p w14:paraId="58C09980">
      <w:pPr>
        <w:snapToGrid w:val="0"/>
        <w:spacing w:line="400" w:lineRule="exact"/>
        <w:ind w:firstLine="480" w:firstLineChars="200"/>
        <w:rPr>
          <w:rFonts w:eastAsia="方正仿宋_GBK"/>
          <w:sz w:val="24"/>
          <w:szCs w:val="24"/>
        </w:rPr>
      </w:pPr>
      <w:r>
        <w:rPr>
          <w:rFonts w:eastAsia="方正仿宋_GBK"/>
          <w:sz w:val="24"/>
          <w:szCs w:val="24"/>
        </w:rPr>
        <w:t>（一）法人营业执照（副本）或事业单位法人证书（副本）或个体工商户营业执照或有效的自然人身份证明或社会团体法人登记证书复印件</w:t>
      </w:r>
    </w:p>
    <w:p w14:paraId="6FCD99AA">
      <w:pPr>
        <w:snapToGrid w:val="0"/>
        <w:spacing w:line="400" w:lineRule="exact"/>
        <w:ind w:firstLine="480" w:firstLineChars="200"/>
        <w:rPr>
          <w:rFonts w:eastAsia="方正仿宋_GBK"/>
          <w:sz w:val="24"/>
          <w:szCs w:val="24"/>
        </w:rPr>
      </w:pPr>
      <w:r>
        <w:rPr>
          <w:rFonts w:eastAsia="方正仿宋_GBK"/>
          <w:sz w:val="24"/>
          <w:szCs w:val="24"/>
        </w:rPr>
        <w:t>（二）法定代表人身份证明书（格式）</w:t>
      </w:r>
    </w:p>
    <w:p w14:paraId="3D8D0A9D">
      <w:pPr>
        <w:snapToGrid w:val="0"/>
        <w:spacing w:line="400" w:lineRule="exact"/>
        <w:ind w:firstLine="480" w:firstLineChars="200"/>
        <w:rPr>
          <w:rFonts w:eastAsia="方正仿宋_GBK"/>
          <w:sz w:val="24"/>
          <w:szCs w:val="24"/>
        </w:rPr>
      </w:pPr>
      <w:r>
        <w:rPr>
          <w:rFonts w:eastAsia="方正仿宋_GBK"/>
          <w:sz w:val="24"/>
          <w:szCs w:val="24"/>
        </w:rPr>
        <w:t>（三）法定代表人授权委托书（格式）</w:t>
      </w:r>
    </w:p>
    <w:p w14:paraId="66DD0C9D">
      <w:pPr>
        <w:snapToGrid w:val="0"/>
        <w:spacing w:line="400" w:lineRule="exact"/>
        <w:ind w:firstLine="480" w:firstLineChars="200"/>
        <w:rPr>
          <w:rFonts w:eastAsia="方正仿宋_GBK"/>
          <w:sz w:val="24"/>
          <w:szCs w:val="24"/>
        </w:rPr>
      </w:pPr>
      <w:r>
        <w:rPr>
          <w:rFonts w:eastAsia="方正仿宋_GBK"/>
          <w:sz w:val="24"/>
          <w:szCs w:val="24"/>
        </w:rPr>
        <w:t>（四）基本资格条件承诺函（格式）</w:t>
      </w:r>
    </w:p>
    <w:p w14:paraId="4939CC3C">
      <w:pPr>
        <w:snapToGrid w:val="0"/>
        <w:spacing w:line="400" w:lineRule="exact"/>
        <w:ind w:firstLine="480" w:firstLineChars="200"/>
        <w:rPr>
          <w:rFonts w:eastAsia="方正仿宋_GBK"/>
          <w:sz w:val="24"/>
          <w:szCs w:val="24"/>
        </w:rPr>
      </w:pPr>
      <w:r>
        <w:rPr>
          <w:rFonts w:eastAsia="方正仿宋_GBK"/>
          <w:sz w:val="24"/>
          <w:szCs w:val="24"/>
        </w:rPr>
        <w:t>（五）特定资格条件证书或证明文件</w:t>
      </w:r>
    </w:p>
    <w:p w14:paraId="495CF489">
      <w:pPr>
        <w:snapToGrid w:val="0"/>
        <w:spacing w:line="360" w:lineRule="auto"/>
        <w:rPr>
          <w:sz w:val="24"/>
          <w:szCs w:val="24"/>
          <w:bdr w:val="single" w:color="auto" w:sz="4" w:space="0"/>
        </w:rPr>
        <w:sectPr>
          <w:pgSz w:w="11907" w:h="16840"/>
          <w:pgMar w:top="1134" w:right="1191" w:bottom="1134" w:left="1304" w:header="851" w:footer="992" w:gutter="0"/>
          <w:cols w:space="720" w:num="1"/>
          <w:docGrid w:linePitch="380" w:charSpace="-5735"/>
        </w:sectPr>
      </w:pPr>
    </w:p>
    <w:p w14:paraId="0E1E0457">
      <w:pPr>
        <w:pStyle w:val="163"/>
        <w:rPr>
          <w:rFonts w:ascii="Times New Roman" w:hAnsi="Times New Roman"/>
        </w:rPr>
      </w:pPr>
      <w:bookmarkStart w:id="83" w:name="_Toc342913419"/>
      <w:bookmarkStart w:id="84" w:name="_Toc106030906"/>
      <w:bookmarkStart w:id="85" w:name="_Toc76462350"/>
      <w:bookmarkStart w:id="86" w:name="_Toc313008356"/>
      <w:bookmarkStart w:id="87" w:name="_Toc313888360"/>
      <w:bookmarkStart w:id="88" w:name="_Toc283382454"/>
      <w:bookmarkStart w:id="89" w:name="_Toc12789073"/>
      <w:r>
        <w:rPr>
          <w:rFonts w:ascii="Times New Roman" w:hAnsi="Times New Roman"/>
        </w:rPr>
        <w:t>一、经济部分</w:t>
      </w:r>
      <w:bookmarkEnd w:id="83"/>
      <w:bookmarkEnd w:id="84"/>
      <w:bookmarkEnd w:id="85"/>
      <w:bookmarkEnd w:id="86"/>
      <w:bookmarkEnd w:id="87"/>
    </w:p>
    <w:bookmarkEnd w:id="88"/>
    <w:bookmarkEnd w:id="89"/>
    <w:p w14:paraId="3099258B">
      <w:pPr>
        <w:pStyle w:val="77"/>
        <w:rPr>
          <w:rFonts w:ascii="Times New Roman" w:hAnsi="Times New Roman" w:cs="Times New Roman"/>
        </w:rPr>
      </w:pPr>
      <w:r>
        <w:rPr>
          <w:rFonts w:ascii="Times New Roman" w:hAnsi="Times New Roman" w:cs="Times New Roman"/>
        </w:rPr>
        <w:t>（一）报价函</w:t>
      </w:r>
    </w:p>
    <w:p w14:paraId="7E421837">
      <w:pPr>
        <w:pStyle w:val="77"/>
        <w:ind w:firstLine="482"/>
        <w:jc w:val="center"/>
        <w:rPr>
          <w:rFonts w:ascii="Times New Roman" w:hAnsi="Times New Roman" w:cs="Times New Roman"/>
          <w:b/>
          <w:bCs/>
        </w:rPr>
      </w:pPr>
      <w:r>
        <w:rPr>
          <w:rFonts w:ascii="Times New Roman" w:hAnsi="Times New Roman" w:cs="Times New Roman"/>
          <w:b/>
          <w:bCs/>
        </w:rPr>
        <w:t>报价函</w:t>
      </w:r>
    </w:p>
    <w:p w14:paraId="48A7E433">
      <w:pPr>
        <w:pStyle w:val="77"/>
        <w:rPr>
          <w:rFonts w:ascii="Times New Roman" w:hAnsi="Times New Roman" w:cs="Times New Roman"/>
        </w:rPr>
      </w:pPr>
      <w:r>
        <w:rPr>
          <w:rFonts w:ascii="Times New Roman" w:hAnsi="Times New Roman" w:cs="Times New Roman"/>
        </w:rPr>
        <w:t>（采购人名称）：</w:t>
      </w:r>
    </w:p>
    <w:p w14:paraId="6BEA59DB">
      <w:pPr>
        <w:pStyle w:val="77"/>
        <w:rPr>
          <w:rFonts w:ascii="Times New Roman" w:hAnsi="Times New Roman" w:cs="Times New Roman"/>
        </w:rPr>
      </w:pPr>
      <w:r>
        <w:rPr>
          <w:rFonts w:ascii="Times New Roman" w:hAnsi="Times New Roman" w:cs="Times New Roman"/>
        </w:rPr>
        <w:t>我方收到____________________________（比选项目名称）的公开比选文件，经详细研究，决定参加该项目的比选。</w:t>
      </w:r>
    </w:p>
    <w:p w14:paraId="6158B6C4">
      <w:pPr>
        <w:pStyle w:val="77"/>
        <w:numPr>
          <w:ilvl w:val="0"/>
          <w:numId w:val="0"/>
        </w:numPr>
        <w:bidi w:val="0"/>
        <w:ind w:firstLine="480" w:firstLineChars="200"/>
        <w:rPr>
          <w:rFonts w:hint="default" w:ascii="Times New Roman" w:hAnsi="Times New Roman" w:cs="Times New Roman"/>
        </w:rPr>
      </w:pPr>
      <w:r>
        <w:rPr>
          <w:rFonts w:hint="eastAsia" w:ascii="Times New Roman" w:hAnsi="Times New Roman" w:cs="Times New Roman"/>
          <w:lang w:val="en-US" w:eastAsia="zh-CN"/>
        </w:rPr>
        <w:t>1.</w:t>
      </w:r>
      <w:r>
        <w:rPr>
          <w:rFonts w:hint="default" w:ascii="Times New Roman" w:hAnsi="Times New Roman" w:cs="Times New Roman"/>
        </w:rPr>
        <w:t>愿意按照</w:t>
      </w:r>
      <w:r>
        <w:rPr>
          <w:rFonts w:hint="default" w:ascii="Times New Roman" w:hAnsi="Times New Roman" w:cs="Times New Roman"/>
          <w:lang w:eastAsia="zh-CN"/>
        </w:rPr>
        <w:t>公开比选</w:t>
      </w:r>
      <w:r>
        <w:rPr>
          <w:rFonts w:hint="default" w:ascii="Times New Roman" w:hAnsi="Times New Roman" w:cs="Times New Roman"/>
        </w:rPr>
        <w:t>文件中的一切要求，提供本项目的</w:t>
      </w:r>
      <w:r>
        <w:rPr>
          <w:rFonts w:hint="eastAsia" w:ascii="Times New Roman" w:hAnsi="Times New Roman" w:cs="Times New Roman"/>
          <w:lang w:val="en-US" w:eastAsia="zh-CN"/>
        </w:rPr>
        <w:t>技术、</w:t>
      </w:r>
      <w:r>
        <w:rPr>
          <w:rFonts w:hint="default" w:ascii="Times New Roman" w:hAnsi="Times New Roman" w:cs="Times New Roman"/>
        </w:rPr>
        <w:t>服务，报价为人民币大写：</w:t>
      </w:r>
    </w:p>
    <w:p w14:paraId="21B327B6">
      <w:pPr>
        <w:pStyle w:val="77"/>
        <w:numPr>
          <w:ilvl w:val="0"/>
          <w:numId w:val="0"/>
        </w:numPr>
        <w:bidi w:val="0"/>
        <w:rPr>
          <w:rFonts w:ascii="Times New Roman" w:hAnsi="Times New Roman" w:cs="Times New Roman"/>
          <w:highlight w:val="yellow"/>
        </w:rPr>
      </w:pPr>
      <w:r>
        <w:rPr>
          <w:rFonts w:hint="default" w:ascii="Times New Roman" w:hAnsi="Times New Roman" w:cs="Times New Roman"/>
          <w:u w:val="single"/>
        </w:rPr>
        <w:t xml:space="preserve">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cs="Times New Roman"/>
        </w:rPr>
        <w:t>元；人民币小写：</w:t>
      </w:r>
      <w:r>
        <w:rPr>
          <w:rFonts w:hint="default" w:ascii="Times New Roman" w:hAnsi="Times New Roman" w:cs="Times New Roman"/>
          <w:u w:val="single"/>
        </w:rPr>
        <w:t xml:space="preserve">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rPr>
        <w:t xml:space="preserve">  </w:t>
      </w:r>
      <w:r>
        <w:rPr>
          <w:rFonts w:hint="default" w:ascii="Times New Roman" w:hAnsi="Times New Roman" w:cs="Times New Roman"/>
        </w:rPr>
        <w:t>元。</w:t>
      </w:r>
    </w:p>
    <w:p w14:paraId="6D41FBE4">
      <w:pPr>
        <w:pStyle w:val="77"/>
        <w:rPr>
          <w:rFonts w:ascii="Times New Roman" w:hAnsi="Times New Roman" w:cs="Times New Roman"/>
        </w:rPr>
      </w:pPr>
      <w:r>
        <w:rPr>
          <w:rFonts w:ascii="Times New Roman" w:hAnsi="Times New Roman" w:cs="Times New Roman"/>
        </w:rPr>
        <w:t>2.我方现提交的响应文件为：响应文件正本</w:t>
      </w:r>
      <w:r>
        <w:rPr>
          <w:rFonts w:ascii="Times New Roman" w:hAnsi="Times New Roman" w:cs="Times New Roman"/>
          <w:u w:val="single"/>
        </w:rPr>
        <w:t xml:space="preserve">   </w:t>
      </w:r>
      <w:r>
        <w:rPr>
          <w:rFonts w:ascii="Times New Roman" w:hAnsi="Times New Roman" w:cs="Times New Roman"/>
        </w:rPr>
        <w:t>份，副本</w:t>
      </w:r>
      <w:r>
        <w:rPr>
          <w:rFonts w:ascii="Times New Roman" w:hAnsi="Times New Roman" w:cs="Times New Roman"/>
          <w:u w:val="single"/>
        </w:rPr>
        <w:t xml:space="preserve">   </w:t>
      </w:r>
      <w:r>
        <w:rPr>
          <w:rFonts w:ascii="Times New Roman" w:hAnsi="Times New Roman" w:cs="Times New Roman"/>
        </w:rPr>
        <w:t>份</w:t>
      </w:r>
      <w:r>
        <w:rPr>
          <w:rFonts w:hint="eastAsia" w:ascii="Times New Roman" w:hAnsi="Times New Roman" w:cs="Times New Roman"/>
        </w:rPr>
        <w:t>，</w:t>
      </w:r>
      <w:r>
        <w:rPr>
          <w:rFonts w:ascii="Times New Roman" w:hAnsi="Times New Roman" w:cs="Times New Roman"/>
        </w:rPr>
        <w:t>电子版</w:t>
      </w:r>
      <w:r>
        <w:rPr>
          <w:rFonts w:ascii="Times New Roman" w:hAnsi="Times New Roman" w:cs="Times New Roman"/>
          <w:u w:val="single"/>
        </w:rPr>
        <w:t xml:space="preserve">  </w:t>
      </w:r>
      <w:r>
        <w:rPr>
          <w:rFonts w:hint="eastAsia" w:ascii="Times New Roman" w:hAnsi="Times New Roman" w:cs="Times New Roman"/>
          <w:u w:val="single"/>
        </w:rPr>
        <w:t xml:space="preserve"> </w:t>
      </w:r>
      <w:r>
        <w:rPr>
          <w:rFonts w:ascii="Times New Roman" w:hAnsi="Times New Roman" w:cs="Times New Roman"/>
          <w:u w:val="single"/>
        </w:rPr>
        <w:t xml:space="preserve"> </w:t>
      </w:r>
      <w:r>
        <w:rPr>
          <w:rFonts w:ascii="Times New Roman" w:hAnsi="Times New Roman" w:cs="Times New Roman"/>
        </w:rPr>
        <w:t>份。</w:t>
      </w:r>
    </w:p>
    <w:p w14:paraId="17695B75">
      <w:pPr>
        <w:pStyle w:val="77"/>
        <w:rPr>
          <w:rFonts w:ascii="Times New Roman" w:hAnsi="Times New Roman" w:cs="Times New Roman"/>
        </w:rPr>
      </w:pPr>
      <w:r>
        <w:rPr>
          <w:rFonts w:ascii="Times New Roman" w:hAnsi="Times New Roman" w:cs="Times New Roman"/>
        </w:rPr>
        <w:t>3.我方承诺：本次比选的有效期为提交响应文件截止时间起90天。</w:t>
      </w:r>
    </w:p>
    <w:p w14:paraId="3FE65445">
      <w:pPr>
        <w:pStyle w:val="77"/>
        <w:rPr>
          <w:rFonts w:ascii="Times New Roman" w:hAnsi="Times New Roman" w:cs="Times New Roman"/>
        </w:rPr>
      </w:pPr>
      <w:r>
        <w:rPr>
          <w:rFonts w:ascii="Times New Roman" w:hAnsi="Times New Roman" w:cs="Times New Roman"/>
        </w:rPr>
        <w:t>4.我方完全理解和接受贵方公开比选文件的一切规定和要求及评审办法。</w:t>
      </w:r>
    </w:p>
    <w:p w14:paraId="023BC0D3">
      <w:pPr>
        <w:pStyle w:val="77"/>
        <w:rPr>
          <w:rFonts w:ascii="Times New Roman" w:hAnsi="Times New Roman" w:cs="Times New Roman"/>
        </w:rPr>
      </w:pPr>
      <w:r>
        <w:rPr>
          <w:rFonts w:ascii="Times New Roman" w:hAnsi="Times New Roman" w:cs="Times New Roman"/>
        </w:rPr>
        <w:t>5.在整个公开比选过程中，我方若有违规行为，接受按照《中华人民共和国政府采购法》和《公开比选文件》之规定给予惩罚。</w:t>
      </w:r>
    </w:p>
    <w:p w14:paraId="49610564">
      <w:pPr>
        <w:pStyle w:val="77"/>
        <w:rPr>
          <w:rFonts w:ascii="Times New Roman" w:hAnsi="Times New Roman" w:cs="Times New Roman"/>
        </w:rPr>
      </w:pPr>
      <w:r>
        <w:rPr>
          <w:rFonts w:ascii="Times New Roman" w:hAnsi="Times New Roman" w:cs="Times New Roman"/>
        </w:rPr>
        <w:t>6.我方若成为成交供应商，将按照最终比选结果签订合同，并且严格履行合同义务。本承诺将成为合同不可分割的一部分，与合同具有同等的法律效力。</w:t>
      </w:r>
    </w:p>
    <w:p w14:paraId="2A18A3A6">
      <w:pPr>
        <w:pStyle w:val="77"/>
        <w:rPr>
          <w:rFonts w:ascii="Times New Roman" w:hAnsi="Times New Roman" w:cs="Times New Roman"/>
        </w:rPr>
      </w:pPr>
      <w:r>
        <w:rPr>
          <w:rFonts w:ascii="Times New Roman" w:hAnsi="Times New Roman" w:cs="Times New Roman"/>
        </w:rPr>
        <w:t>7.我方未为采购项目提供整体设计、规范编制或者项目管理、监理、检测等服务。</w:t>
      </w:r>
    </w:p>
    <w:p w14:paraId="0E4AEB61">
      <w:pPr>
        <w:pStyle w:val="77"/>
        <w:rPr>
          <w:rFonts w:ascii="Times New Roman" w:hAnsi="Times New Roman" w:cs="Times New Roman"/>
        </w:rPr>
      </w:pPr>
    </w:p>
    <w:p w14:paraId="6B349412">
      <w:pPr>
        <w:pStyle w:val="77"/>
        <w:rPr>
          <w:rFonts w:ascii="Times New Roman" w:hAnsi="Times New Roman" w:cs="Times New Roman"/>
        </w:rPr>
      </w:pPr>
      <w:r>
        <w:rPr>
          <w:rFonts w:ascii="Times New Roman" w:hAnsi="Times New Roman" w:cs="Times New Roman"/>
        </w:rPr>
        <w:t>供应商（公章）或自然人签署：</w:t>
      </w:r>
    </w:p>
    <w:p w14:paraId="5B215A58">
      <w:pPr>
        <w:pStyle w:val="77"/>
        <w:rPr>
          <w:rFonts w:ascii="Times New Roman" w:hAnsi="Times New Roman" w:cs="Times New Roman"/>
        </w:rPr>
      </w:pPr>
      <w:r>
        <w:rPr>
          <w:rFonts w:ascii="Times New Roman" w:hAnsi="Times New Roman" w:cs="Times New Roman"/>
        </w:rPr>
        <w:t xml:space="preserve">地址：  </w:t>
      </w:r>
    </w:p>
    <w:p w14:paraId="2993B9B6">
      <w:pPr>
        <w:pStyle w:val="77"/>
        <w:rPr>
          <w:rFonts w:ascii="Times New Roman" w:hAnsi="Times New Roman" w:cs="Times New Roman"/>
        </w:rPr>
      </w:pPr>
      <w:r>
        <w:rPr>
          <w:rFonts w:ascii="Times New Roman" w:hAnsi="Times New Roman" w:cs="Times New Roman"/>
        </w:rPr>
        <w:t xml:space="preserve">电话：                                             </w:t>
      </w:r>
    </w:p>
    <w:p w14:paraId="2348497F">
      <w:pPr>
        <w:pStyle w:val="77"/>
        <w:rPr>
          <w:rFonts w:ascii="Times New Roman" w:hAnsi="Times New Roman" w:cs="Times New Roman"/>
        </w:rPr>
      </w:pPr>
      <w:r>
        <w:rPr>
          <w:rFonts w:ascii="Times New Roman" w:hAnsi="Times New Roman" w:cs="Times New Roman"/>
        </w:rPr>
        <w:t>联系人：</w:t>
      </w:r>
    </w:p>
    <w:p w14:paraId="27384077">
      <w:pPr>
        <w:pStyle w:val="77"/>
        <w:rPr>
          <w:rFonts w:ascii="Times New Roman" w:hAnsi="Times New Roman" w:cs="Times New Roman"/>
        </w:rPr>
        <w:sectPr>
          <w:pgSz w:w="11907" w:h="16840"/>
          <w:pgMar w:top="1134" w:right="1191" w:bottom="1134" w:left="1304" w:header="851" w:footer="992" w:gutter="0"/>
          <w:cols w:space="720" w:num="1"/>
          <w:docGrid w:linePitch="380" w:charSpace="-5735"/>
        </w:sectPr>
      </w:pPr>
      <w:r>
        <w:rPr>
          <w:rFonts w:ascii="Times New Roman" w:hAnsi="Times New Roman" w:cs="Times New Roman"/>
        </w:rPr>
        <w:t xml:space="preserve">                                                  年   月   日</w:t>
      </w:r>
    </w:p>
    <w:p w14:paraId="340DD8F7">
      <w:pPr>
        <w:tabs>
          <w:tab w:val="left" w:pos="2895"/>
        </w:tabs>
        <w:spacing w:line="400" w:lineRule="exact"/>
        <w:ind w:firstLine="480" w:firstLineChars="200"/>
        <w:rPr>
          <w:rFonts w:eastAsia="方正仿宋_GBK"/>
          <w:sz w:val="24"/>
          <w:szCs w:val="24"/>
        </w:rPr>
      </w:pPr>
      <w:r>
        <w:rPr>
          <w:rFonts w:eastAsia="方正仿宋_GBK"/>
          <w:sz w:val="24"/>
          <w:szCs w:val="24"/>
        </w:rPr>
        <w:t>（二）明细报价表（如果有）</w:t>
      </w:r>
    </w:p>
    <w:p w14:paraId="12495D5D">
      <w:pPr>
        <w:spacing w:line="400" w:lineRule="exact"/>
        <w:ind w:firstLine="480" w:firstLineChars="200"/>
        <w:rPr>
          <w:rFonts w:eastAsia="方正仿宋_GBK"/>
          <w:sz w:val="24"/>
          <w:szCs w:val="24"/>
        </w:rPr>
      </w:pPr>
      <w:r>
        <w:rPr>
          <w:rFonts w:eastAsia="方正仿宋_GBK"/>
          <w:sz w:val="24"/>
          <w:szCs w:val="24"/>
        </w:rPr>
        <w:t xml:space="preserve">项目号：                              </w:t>
      </w:r>
    </w:p>
    <w:p w14:paraId="238F8643">
      <w:pPr>
        <w:spacing w:line="400" w:lineRule="exact"/>
        <w:ind w:firstLine="480" w:firstLineChars="200"/>
        <w:rPr>
          <w:rFonts w:eastAsia="方正仿宋_GBK"/>
          <w:sz w:val="24"/>
          <w:szCs w:val="24"/>
          <w:u w:val="single"/>
        </w:rPr>
      </w:pPr>
      <w:r>
        <w:rPr>
          <w:rFonts w:eastAsia="方正仿宋_GBK"/>
          <w:sz w:val="24"/>
          <w:szCs w:val="24"/>
        </w:rPr>
        <w:t xml:space="preserve">项目名称： </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557"/>
        <w:gridCol w:w="3127"/>
        <w:gridCol w:w="1235"/>
        <w:gridCol w:w="1235"/>
        <w:gridCol w:w="1235"/>
      </w:tblGrid>
      <w:tr w14:paraId="7E68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939" w:type="dxa"/>
            <w:vAlign w:val="center"/>
          </w:tcPr>
          <w:p w14:paraId="541E8B22">
            <w:pPr>
              <w:jc w:val="center"/>
              <w:rPr>
                <w:rFonts w:eastAsia="方正仿宋_GBK"/>
                <w:b/>
                <w:sz w:val="21"/>
                <w:szCs w:val="21"/>
              </w:rPr>
            </w:pPr>
            <w:r>
              <w:rPr>
                <w:rFonts w:eastAsia="方正仿宋_GBK"/>
                <w:b/>
                <w:sz w:val="21"/>
                <w:szCs w:val="21"/>
              </w:rPr>
              <w:t>序号</w:t>
            </w:r>
          </w:p>
        </w:tc>
        <w:tc>
          <w:tcPr>
            <w:tcW w:w="1557" w:type="dxa"/>
            <w:vAlign w:val="center"/>
          </w:tcPr>
          <w:p w14:paraId="32CC8C8A">
            <w:pPr>
              <w:jc w:val="center"/>
              <w:rPr>
                <w:rFonts w:eastAsia="方正仿宋_GBK"/>
                <w:b/>
                <w:sz w:val="21"/>
                <w:szCs w:val="21"/>
              </w:rPr>
            </w:pPr>
            <w:r>
              <w:rPr>
                <w:rFonts w:eastAsia="方正仿宋_GBK"/>
                <w:b/>
                <w:sz w:val="21"/>
                <w:szCs w:val="21"/>
              </w:rPr>
              <w:t>名称</w:t>
            </w:r>
          </w:p>
        </w:tc>
        <w:tc>
          <w:tcPr>
            <w:tcW w:w="3127" w:type="dxa"/>
            <w:vAlign w:val="center"/>
          </w:tcPr>
          <w:p w14:paraId="6C386744">
            <w:pPr>
              <w:jc w:val="center"/>
              <w:rPr>
                <w:rFonts w:eastAsia="方正仿宋_GBK"/>
                <w:b/>
                <w:sz w:val="21"/>
                <w:szCs w:val="21"/>
              </w:rPr>
            </w:pPr>
            <w:r>
              <w:rPr>
                <w:rFonts w:eastAsia="方正仿宋_GBK"/>
                <w:b/>
                <w:sz w:val="21"/>
                <w:szCs w:val="21"/>
              </w:rPr>
              <w:t>相关信息</w:t>
            </w:r>
            <w:r>
              <w:rPr>
                <w:rFonts w:hint="eastAsia" w:eastAsia="方正仿宋_GBK"/>
                <w:b/>
                <w:sz w:val="21"/>
                <w:szCs w:val="21"/>
              </w:rPr>
              <w:t>（</w:t>
            </w:r>
            <w:r>
              <w:rPr>
                <w:rFonts w:hint="eastAsia" w:ascii="方正仿宋_GBK" w:hAnsi="仿宋" w:eastAsia="方正仿宋_GBK"/>
                <w:b/>
                <w:sz w:val="21"/>
                <w:szCs w:val="21"/>
              </w:rPr>
              <w:t>品牌、规格型号</w:t>
            </w:r>
            <w:r>
              <w:rPr>
                <w:rFonts w:hint="eastAsia" w:eastAsia="方正仿宋_GBK"/>
                <w:b/>
                <w:sz w:val="21"/>
                <w:szCs w:val="21"/>
              </w:rPr>
              <w:t>）</w:t>
            </w:r>
          </w:p>
        </w:tc>
        <w:tc>
          <w:tcPr>
            <w:tcW w:w="1235" w:type="dxa"/>
            <w:vAlign w:val="center"/>
          </w:tcPr>
          <w:p w14:paraId="4ADE9370">
            <w:pPr>
              <w:jc w:val="center"/>
              <w:rPr>
                <w:rFonts w:eastAsia="方正仿宋_GBK"/>
                <w:b/>
                <w:sz w:val="21"/>
                <w:szCs w:val="21"/>
              </w:rPr>
            </w:pPr>
            <w:r>
              <w:rPr>
                <w:rFonts w:eastAsia="方正仿宋_GBK"/>
                <w:b/>
                <w:sz w:val="21"/>
                <w:szCs w:val="21"/>
              </w:rPr>
              <w:t>数量</w:t>
            </w:r>
          </w:p>
        </w:tc>
        <w:tc>
          <w:tcPr>
            <w:tcW w:w="1235" w:type="dxa"/>
            <w:vAlign w:val="center"/>
          </w:tcPr>
          <w:p w14:paraId="57CB13B7">
            <w:pPr>
              <w:jc w:val="center"/>
              <w:rPr>
                <w:rFonts w:eastAsia="方正仿宋_GBK"/>
                <w:b/>
                <w:sz w:val="21"/>
                <w:szCs w:val="21"/>
              </w:rPr>
            </w:pPr>
            <w:r>
              <w:rPr>
                <w:rFonts w:eastAsia="方正仿宋_GBK"/>
                <w:b/>
                <w:sz w:val="21"/>
                <w:szCs w:val="21"/>
              </w:rPr>
              <w:t>单价</w:t>
            </w:r>
          </w:p>
        </w:tc>
        <w:tc>
          <w:tcPr>
            <w:tcW w:w="1235" w:type="dxa"/>
            <w:vAlign w:val="center"/>
          </w:tcPr>
          <w:p w14:paraId="24C04021">
            <w:pPr>
              <w:jc w:val="center"/>
              <w:rPr>
                <w:rFonts w:eastAsia="方正仿宋_GBK"/>
                <w:b/>
                <w:sz w:val="21"/>
                <w:szCs w:val="21"/>
              </w:rPr>
            </w:pPr>
            <w:r>
              <w:rPr>
                <w:rFonts w:eastAsia="方正仿宋_GBK"/>
                <w:b/>
                <w:sz w:val="21"/>
                <w:szCs w:val="21"/>
              </w:rPr>
              <w:t>合计</w:t>
            </w:r>
          </w:p>
        </w:tc>
      </w:tr>
      <w:tr w14:paraId="3202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1B657ED1">
            <w:pPr>
              <w:pStyle w:val="23"/>
              <w:spacing w:line="240" w:lineRule="atLeast"/>
              <w:ind w:left="3920"/>
              <w:jc w:val="center"/>
              <w:outlineLvl w:val="0"/>
              <w:rPr>
                <w:rFonts w:eastAsia="方正仿宋_GBK"/>
                <w:sz w:val="21"/>
                <w:szCs w:val="21"/>
              </w:rPr>
            </w:pPr>
            <w:r>
              <w:rPr>
                <w:rFonts w:eastAsia="方正仿宋_GBK"/>
                <w:sz w:val="21"/>
                <w:szCs w:val="21"/>
              </w:rPr>
              <w:t>1</w:t>
            </w:r>
          </w:p>
        </w:tc>
        <w:tc>
          <w:tcPr>
            <w:tcW w:w="1557" w:type="dxa"/>
            <w:vAlign w:val="center"/>
          </w:tcPr>
          <w:p w14:paraId="1FBED119">
            <w:pPr>
              <w:jc w:val="center"/>
              <w:rPr>
                <w:rFonts w:eastAsia="方正仿宋_GBK"/>
                <w:sz w:val="21"/>
                <w:szCs w:val="21"/>
              </w:rPr>
            </w:pPr>
          </w:p>
        </w:tc>
        <w:tc>
          <w:tcPr>
            <w:tcW w:w="3127" w:type="dxa"/>
          </w:tcPr>
          <w:p w14:paraId="76687642">
            <w:pPr>
              <w:jc w:val="center"/>
              <w:rPr>
                <w:rFonts w:eastAsia="方正仿宋_GBK"/>
                <w:sz w:val="21"/>
                <w:szCs w:val="21"/>
              </w:rPr>
            </w:pPr>
          </w:p>
        </w:tc>
        <w:tc>
          <w:tcPr>
            <w:tcW w:w="1235" w:type="dxa"/>
            <w:vAlign w:val="center"/>
          </w:tcPr>
          <w:p w14:paraId="208DBB70">
            <w:pPr>
              <w:jc w:val="center"/>
              <w:rPr>
                <w:rFonts w:eastAsia="方正仿宋_GBK"/>
                <w:sz w:val="21"/>
                <w:szCs w:val="21"/>
              </w:rPr>
            </w:pPr>
          </w:p>
        </w:tc>
        <w:tc>
          <w:tcPr>
            <w:tcW w:w="1235" w:type="dxa"/>
          </w:tcPr>
          <w:p w14:paraId="785C7C18">
            <w:pPr>
              <w:jc w:val="center"/>
              <w:rPr>
                <w:rFonts w:eastAsia="方正仿宋_GBK"/>
                <w:sz w:val="21"/>
                <w:szCs w:val="21"/>
              </w:rPr>
            </w:pPr>
          </w:p>
        </w:tc>
        <w:tc>
          <w:tcPr>
            <w:tcW w:w="1235" w:type="dxa"/>
          </w:tcPr>
          <w:p w14:paraId="0F119EB5">
            <w:pPr>
              <w:jc w:val="center"/>
              <w:rPr>
                <w:rFonts w:eastAsia="方正仿宋_GBK"/>
                <w:sz w:val="21"/>
                <w:szCs w:val="21"/>
              </w:rPr>
            </w:pPr>
          </w:p>
        </w:tc>
      </w:tr>
      <w:tr w14:paraId="4F38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18B0F140">
            <w:pPr>
              <w:pStyle w:val="23"/>
              <w:spacing w:line="240" w:lineRule="atLeast"/>
              <w:ind w:left="3920"/>
              <w:jc w:val="center"/>
              <w:outlineLvl w:val="0"/>
              <w:rPr>
                <w:rFonts w:eastAsia="方正仿宋_GBK"/>
                <w:sz w:val="21"/>
                <w:szCs w:val="21"/>
              </w:rPr>
            </w:pPr>
            <w:r>
              <w:rPr>
                <w:rFonts w:eastAsia="方正仿宋_GBK"/>
                <w:sz w:val="21"/>
                <w:szCs w:val="21"/>
              </w:rPr>
              <w:t>2</w:t>
            </w:r>
          </w:p>
        </w:tc>
        <w:tc>
          <w:tcPr>
            <w:tcW w:w="1557" w:type="dxa"/>
            <w:vAlign w:val="center"/>
          </w:tcPr>
          <w:p w14:paraId="5723D361">
            <w:pPr>
              <w:jc w:val="center"/>
              <w:rPr>
                <w:rFonts w:eastAsia="方正仿宋_GBK"/>
                <w:sz w:val="21"/>
                <w:szCs w:val="21"/>
              </w:rPr>
            </w:pPr>
          </w:p>
        </w:tc>
        <w:tc>
          <w:tcPr>
            <w:tcW w:w="3127" w:type="dxa"/>
          </w:tcPr>
          <w:p w14:paraId="147113BF">
            <w:pPr>
              <w:jc w:val="center"/>
              <w:rPr>
                <w:rFonts w:eastAsia="方正仿宋_GBK"/>
                <w:sz w:val="21"/>
                <w:szCs w:val="21"/>
              </w:rPr>
            </w:pPr>
          </w:p>
        </w:tc>
        <w:tc>
          <w:tcPr>
            <w:tcW w:w="1235" w:type="dxa"/>
            <w:vAlign w:val="center"/>
          </w:tcPr>
          <w:p w14:paraId="510F4241">
            <w:pPr>
              <w:jc w:val="center"/>
              <w:rPr>
                <w:rFonts w:eastAsia="方正仿宋_GBK"/>
                <w:sz w:val="21"/>
                <w:szCs w:val="21"/>
              </w:rPr>
            </w:pPr>
          </w:p>
        </w:tc>
        <w:tc>
          <w:tcPr>
            <w:tcW w:w="1235" w:type="dxa"/>
          </w:tcPr>
          <w:p w14:paraId="516D9679">
            <w:pPr>
              <w:jc w:val="center"/>
              <w:rPr>
                <w:rFonts w:eastAsia="方正仿宋_GBK"/>
                <w:sz w:val="21"/>
                <w:szCs w:val="21"/>
              </w:rPr>
            </w:pPr>
          </w:p>
        </w:tc>
        <w:tc>
          <w:tcPr>
            <w:tcW w:w="1235" w:type="dxa"/>
          </w:tcPr>
          <w:p w14:paraId="74327825">
            <w:pPr>
              <w:jc w:val="center"/>
              <w:rPr>
                <w:rFonts w:eastAsia="方正仿宋_GBK"/>
                <w:sz w:val="21"/>
                <w:szCs w:val="21"/>
              </w:rPr>
            </w:pPr>
          </w:p>
        </w:tc>
      </w:tr>
      <w:tr w14:paraId="0C7D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3688B074">
            <w:pPr>
              <w:pStyle w:val="23"/>
              <w:spacing w:line="240" w:lineRule="atLeast"/>
              <w:ind w:left="3920"/>
              <w:jc w:val="center"/>
              <w:outlineLvl w:val="0"/>
              <w:rPr>
                <w:rFonts w:eastAsia="方正仿宋_GBK"/>
                <w:sz w:val="21"/>
                <w:szCs w:val="21"/>
              </w:rPr>
            </w:pPr>
            <w:r>
              <w:rPr>
                <w:rFonts w:eastAsia="方正仿宋_GBK"/>
                <w:sz w:val="21"/>
                <w:szCs w:val="21"/>
              </w:rPr>
              <w:t>3</w:t>
            </w:r>
          </w:p>
        </w:tc>
        <w:tc>
          <w:tcPr>
            <w:tcW w:w="1557" w:type="dxa"/>
            <w:vAlign w:val="center"/>
          </w:tcPr>
          <w:p w14:paraId="34E61820">
            <w:pPr>
              <w:jc w:val="center"/>
              <w:rPr>
                <w:rFonts w:eastAsia="方正仿宋_GBK"/>
                <w:sz w:val="21"/>
                <w:szCs w:val="21"/>
              </w:rPr>
            </w:pPr>
          </w:p>
        </w:tc>
        <w:tc>
          <w:tcPr>
            <w:tcW w:w="3127" w:type="dxa"/>
          </w:tcPr>
          <w:p w14:paraId="7A385020">
            <w:pPr>
              <w:jc w:val="center"/>
              <w:rPr>
                <w:rFonts w:eastAsia="方正仿宋_GBK"/>
                <w:sz w:val="21"/>
                <w:szCs w:val="21"/>
              </w:rPr>
            </w:pPr>
          </w:p>
        </w:tc>
        <w:tc>
          <w:tcPr>
            <w:tcW w:w="1235" w:type="dxa"/>
            <w:vAlign w:val="center"/>
          </w:tcPr>
          <w:p w14:paraId="5D66C6EC">
            <w:pPr>
              <w:jc w:val="center"/>
              <w:rPr>
                <w:rFonts w:eastAsia="方正仿宋_GBK"/>
                <w:sz w:val="21"/>
                <w:szCs w:val="21"/>
              </w:rPr>
            </w:pPr>
          </w:p>
        </w:tc>
        <w:tc>
          <w:tcPr>
            <w:tcW w:w="1235" w:type="dxa"/>
          </w:tcPr>
          <w:p w14:paraId="4AEA29C5">
            <w:pPr>
              <w:jc w:val="center"/>
              <w:rPr>
                <w:rFonts w:eastAsia="方正仿宋_GBK"/>
                <w:sz w:val="21"/>
                <w:szCs w:val="21"/>
              </w:rPr>
            </w:pPr>
          </w:p>
        </w:tc>
        <w:tc>
          <w:tcPr>
            <w:tcW w:w="1235" w:type="dxa"/>
          </w:tcPr>
          <w:p w14:paraId="145142D6">
            <w:pPr>
              <w:jc w:val="center"/>
              <w:rPr>
                <w:rFonts w:eastAsia="方正仿宋_GBK"/>
                <w:sz w:val="21"/>
                <w:szCs w:val="21"/>
              </w:rPr>
            </w:pPr>
          </w:p>
        </w:tc>
      </w:tr>
      <w:tr w14:paraId="2767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4EF55AD3">
            <w:pPr>
              <w:pStyle w:val="23"/>
              <w:spacing w:line="240" w:lineRule="atLeast"/>
              <w:ind w:left="3920"/>
              <w:jc w:val="center"/>
              <w:outlineLvl w:val="0"/>
              <w:rPr>
                <w:rFonts w:eastAsia="方正仿宋_GBK"/>
                <w:sz w:val="21"/>
                <w:szCs w:val="21"/>
              </w:rPr>
            </w:pPr>
            <w:r>
              <w:rPr>
                <w:rFonts w:eastAsia="方正仿宋_GBK"/>
                <w:sz w:val="21"/>
                <w:szCs w:val="21"/>
              </w:rPr>
              <w:t>4</w:t>
            </w:r>
          </w:p>
        </w:tc>
        <w:tc>
          <w:tcPr>
            <w:tcW w:w="1557" w:type="dxa"/>
            <w:vAlign w:val="center"/>
          </w:tcPr>
          <w:p w14:paraId="35AA3D60">
            <w:pPr>
              <w:jc w:val="center"/>
              <w:rPr>
                <w:rFonts w:eastAsia="方正仿宋_GBK"/>
                <w:sz w:val="21"/>
                <w:szCs w:val="21"/>
              </w:rPr>
            </w:pPr>
          </w:p>
        </w:tc>
        <w:tc>
          <w:tcPr>
            <w:tcW w:w="3127" w:type="dxa"/>
          </w:tcPr>
          <w:p w14:paraId="5F0154DB">
            <w:pPr>
              <w:jc w:val="center"/>
              <w:rPr>
                <w:rFonts w:eastAsia="方正仿宋_GBK"/>
                <w:sz w:val="21"/>
                <w:szCs w:val="21"/>
              </w:rPr>
            </w:pPr>
          </w:p>
        </w:tc>
        <w:tc>
          <w:tcPr>
            <w:tcW w:w="1235" w:type="dxa"/>
            <w:vAlign w:val="center"/>
          </w:tcPr>
          <w:p w14:paraId="51212C40">
            <w:pPr>
              <w:jc w:val="center"/>
              <w:rPr>
                <w:rFonts w:eastAsia="方正仿宋_GBK"/>
                <w:sz w:val="21"/>
                <w:szCs w:val="21"/>
              </w:rPr>
            </w:pPr>
          </w:p>
        </w:tc>
        <w:tc>
          <w:tcPr>
            <w:tcW w:w="1235" w:type="dxa"/>
          </w:tcPr>
          <w:p w14:paraId="00AB732A">
            <w:pPr>
              <w:jc w:val="center"/>
              <w:rPr>
                <w:rFonts w:eastAsia="方正仿宋_GBK"/>
                <w:sz w:val="21"/>
                <w:szCs w:val="21"/>
              </w:rPr>
            </w:pPr>
          </w:p>
        </w:tc>
        <w:tc>
          <w:tcPr>
            <w:tcW w:w="1235" w:type="dxa"/>
          </w:tcPr>
          <w:p w14:paraId="4C6DB28D">
            <w:pPr>
              <w:jc w:val="center"/>
              <w:rPr>
                <w:rFonts w:eastAsia="方正仿宋_GBK"/>
                <w:sz w:val="21"/>
                <w:szCs w:val="21"/>
              </w:rPr>
            </w:pPr>
          </w:p>
        </w:tc>
      </w:tr>
      <w:tr w14:paraId="52CD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4FDAC0F0">
            <w:pPr>
              <w:pStyle w:val="23"/>
              <w:spacing w:line="240" w:lineRule="atLeast"/>
              <w:ind w:left="3920"/>
              <w:jc w:val="center"/>
              <w:outlineLvl w:val="0"/>
              <w:rPr>
                <w:rFonts w:eastAsia="方正仿宋_GBK"/>
                <w:sz w:val="21"/>
                <w:szCs w:val="21"/>
              </w:rPr>
            </w:pPr>
            <w:r>
              <w:rPr>
                <w:rFonts w:eastAsia="方正仿宋_GBK"/>
                <w:sz w:val="21"/>
                <w:szCs w:val="21"/>
              </w:rPr>
              <w:t>5</w:t>
            </w:r>
          </w:p>
        </w:tc>
        <w:tc>
          <w:tcPr>
            <w:tcW w:w="1557" w:type="dxa"/>
            <w:vAlign w:val="center"/>
          </w:tcPr>
          <w:p w14:paraId="16289094">
            <w:pPr>
              <w:jc w:val="center"/>
              <w:rPr>
                <w:rFonts w:eastAsia="方正仿宋_GBK"/>
                <w:sz w:val="21"/>
                <w:szCs w:val="21"/>
              </w:rPr>
            </w:pPr>
          </w:p>
        </w:tc>
        <w:tc>
          <w:tcPr>
            <w:tcW w:w="3127" w:type="dxa"/>
          </w:tcPr>
          <w:p w14:paraId="2D3F4BFE">
            <w:pPr>
              <w:jc w:val="center"/>
              <w:rPr>
                <w:rFonts w:eastAsia="方正仿宋_GBK"/>
                <w:sz w:val="21"/>
                <w:szCs w:val="21"/>
              </w:rPr>
            </w:pPr>
          </w:p>
        </w:tc>
        <w:tc>
          <w:tcPr>
            <w:tcW w:w="1235" w:type="dxa"/>
            <w:vAlign w:val="center"/>
          </w:tcPr>
          <w:p w14:paraId="70531B06">
            <w:pPr>
              <w:jc w:val="center"/>
              <w:rPr>
                <w:rFonts w:eastAsia="方正仿宋_GBK"/>
                <w:sz w:val="21"/>
                <w:szCs w:val="21"/>
              </w:rPr>
            </w:pPr>
          </w:p>
        </w:tc>
        <w:tc>
          <w:tcPr>
            <w:tcW w:w="1235" w:type="dxa"/>
          </w:tcPr>
          <w:p w14:paraId="3F40A785">
            <w:pPr>
              <w:jc w:val="center"/>
              <w:rPr>
                <w:rFonts w:eastAsia="方正仿宋_GBK"/>
                <w:sz w:val="21"/>
                <w:szCs w:val="21"/>
              </w:rPr>
            </w:pPr>
          </w:p>
        </w:tc>
        <w:tc>
          <w:tcPr>
            <w:tcW w:w="1235" w:type="dxa"/>
          </w:tcPr>
          <w:p w14:paraId="2E677A5A">
            <w:pPr>
              <w:jc w:val="center"/>
              <w:rPr>
                <w:rFonts w:eastAsia="方正仿宋_GBK"/>
                <w:sz w:val="21"/>
                <w:szCs w:val="21"/>
              </w:rPr>
            </w:pPr>
          </w:p>
        </w:tc>
      </w:tr>
      <w:tr w14:paraId="6A02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325234C9">
            <w:pPr>
              <w:pStyle w:val="23"/>
              <w:spacing w:line="240" w:lineRule="atLeast"/>
              <w:ind w:left="3920"/>
              <w:jc w:val="center"/>
              <w:outlineLvl w:val="0"/>
              <w:rPr>
                <w:rFonts w:eastAsia="方正仿宋_GBK"/>
                <w:sz w:val="21"/>
                <w:szCs w:val="21"/>
              </w:rPr>
            </w:pPr>
            <w:r>
              <w:rPr>
                <w:rFonts w:eastAsia="方正仿宋_GBK"/>
                <w:sz w:val="21"/>
                <w:szCs w:val="21"/>
              </w:rPr>
              <w:t>6</w:t>
            </w:r>
          </w:p>
        </w:tc>
        <w:tc>
          <w:tcPr>
            <w:tcW w:w="1557" w:type="dxa"/>
            <w:vAlign w:val="center"/>
          </w:tcPr>
          <w:p w14:paraId="16BFCEDA">
            <w:pPr>
              <w:jc w:val="center"/>
              <w:rPr>
                <w:rFonts w:eastAsia="方正仿宋_GBK"/>
                <w:sz w:val="21"/>
                <w:szCs w:val="21"/>
              </w:rPr>
            </w:pPr>
          </w:p>
        </w:tc>
        <w:tc>
          <w:tcPr>
            <w:tcW w:w="3127" w:type="dxa"/>
          </w:tcPr>
          <w:p w14:paraId="576F2DC7">
            <w:pPr>
              <w:jc w:val="center"/>
              <w:rPr>
                <w:rFonts w:eastAsia="方正仿宋_GBK"/>
                <w:sz w:val="21"/>
                <w:szCs w:val="21"/>
              </w:rPr>
            </w:pPr>
          </w:p>
        </w:tc>
        <w:tc>
          <w:tcPr>
            <w:tcW w:w="1235" w:type="dxa"/>
            <w:vAlign w:val="center"/>
          </w:tcPr>
          <w:p w14:paraId="5F3C080D">
            <w:pPr>
              <w:jc w:val="center"/>
              <w:rPr>
                <w:rFonts w:eastAsia="方正仿宋_GBK"/>
                <w:sz w:val="21"/>
                <w:szCs w:val="21"/>
              </w:rPr>
            </w:pPr>
          </w:p>
        </w:tc>
        <w:tc>
          <w:tcPr>
            <w:tcW w:w="1235" w:type="dxa"/>
          </w:tcPr>
          <w:p w14:paraId="1D0DD5FB">
            <w:pPr>
              <w:jc w:val="center"/>
              <w:rPr>
                <w:rFonts w:eastAsia="方正仿宋_GBK"/>
                <w:sz w:val="21"/>
                <w:szCs w:val="21"/>
              </w:rPr>
            </w:pPr>
          </w:p>
        </w:tc>
        <w:tc>
          <w:tcPr>
            <w:tcW w:w="1235" w:type="dxa"/>
          </w:tcPr>
          <w:p w14:paraId="36D6D04E">
            <w:pPr>
              <w:jc w:val="center"/>
              <w:rPr>
                <w:rFonts w:eastAsia="方正仿宋_GBK"/>
                <w:sz w:val="21"/>
                <w:szCs w:val="21"/>
              </w:rPr>
            </w:pPr>
          </w:p>
        </w:tc>
      </w:tr>
      <w:tr w14:paraId="3EC4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6E25FCD8">
            <w:pPr>
              <w:pStyle w:val="23"/>
              <w:spacing w:line="240" w:lineRule="atLeast"/>
              <w:ind w:left="3920"/>
              <w:jc w:val="center"/>
              <w:outlineLvl w:val="0"/>
              <w:rPr>
                <w:rFonts w:eastAsia="方正仿宋_GBK"/>
                <w:sz w:val="21"/>
                <w:szCs w:val="21"/>
              </w:rPr>
            </w:pPr>
            <w:r>
              <w:rPr>
                <w:rFonts w:eastAsia="方正仿宋_GBK"/>
                <w:sz w:val="21"/>
                <w:szCs w:val="21"/>
              </w:rPr>
              <w:t>7</w:t>
            </w:r>
          </w:p>
        </w:tc>
        <w:tc>
          <w:tcPr>
            <w:tcW w:w="1557" w:type="dxa"/>
            <w:vAlign w:val="center"/>
          </w:tcPr>
          <w:p w14:paraId="4261DED5">
            <w:pPr>
              <w:jc w:val="center"/>
              <w:rPr>
                <w:rFonts w:eastAsia="方正仿宋_GBK"/>
                <w:sz w:val="21"/>
                <w:szCs w:val="21"/>
              </w:rPr>
            </w:pPr>
          </w:p>
        </w:tc>
        <w:tc>
          <w:tcPr>
            <w:tcW w:w="3127" w:type="dxa"/>
          </w:tcPr>
          <w:p w14:paraId="3FAE6EAA">
            <w:pPr>
              <w:jc w:val="center"/>
              <w:rPr>
                <w:rFonts w:eastAsia="方正仿宋_GBK"/>
                <w:sz w:val="21"/>
                <w:szCs w:val="21"/>
              </w:rPr>
            </w:pPr>
          </w:p>
        </w:tc>
        <w:tc>
          <w:tcPr>
            <w:tcW w:w="1235" w:type="dxa"/>
            <w:vAlign w:val="center"/>
          </w:tcPr>
          <w:p w14:paraId="21D84F12">
            <w:pPr>
              <w:jc w:val="center"/>
              <w:rPr>
                <w:rFonts w:eastAsia="方正仿宋_GBK"/>
                <w:sz w:val="21"/>
                <w:szCs w:val="21"/>
              </w:rPr>
            </w:pPr>
          </w:p>
        </w:tc>
        <w:tc>
          <w:tcPr>
            <w:tcW w:w="1235" w:type="dxa"/>
          </w:tcPr>
          <w:p w14:paraId="025E1AD1">
            <w:pPr>
              <w:jc w:val="center"/>
              <w:rPr>
                <w:rFonts w:eastAsia="方正仿宋_GBK"/>
                <w:sz w:val="21"/>
                <w:szCs w:val="21"/>
              </w:rPr>
            </w:pPr>
          </w:p>
        </w:tc>
        <w:tc>
          <w:tcPr>
            <w:tcW w:w="1235" w:type="dxa"/>
          </w:tcPr>
          <w:p w14:paraId="6F377D05">
            <w:pPr>
              <w:jc w:val="center"/>
              <w:rPr>
                <w:rFonts w:eastAsia="方正仿宋_GBK"/>
                <w:sz w:val="21"/>
                <w:szCs w:val="21"/>
              </w:rPr>
            </w:pPr>
          </w:p>
        </w:tc>
      </w:tr>
      <w:tr w14:paraId="5A18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0302748D">
            <w:pPr>
              <w:pStyle w:val="23"/>
              <w:spacing w:line="240" w:lineRule="atLeast"/>
              <w:ind w:left="3920"/>
              <w:jc w:val="center"/>
              <w:outlineLvl w:val="0"/>
              <w:rPr>
                <w:rFonts w:eastAsia="方正仿宋_GBK"/>
                <w:sz w:val="21"/>
                <w:szCs w:val="21"/>
              </w:rPr>
            </w:pPr>
            <w:r>
              <w:rPr>
                <w:rFonts w:eastAsia="方正仿宋_GBK"/>
                <w:sz w:val="21"/>
                <w:szCs w:val="21"/>
              </w:rPr>
              <w:t>8</w:t>
            </w:r>
          </w:p>
        </w:tc>
        <w:tc>
          <w:tcPr>
            <w:tcW w:w="1557" w:type="dxa"/>
            <w:vAlign w:val="center"/>
          </w:tcPr>
          <w:p w14:paraId="103E001F">
            <w:pPr>
              <w:jc w:val="center"/>
              <w:rPr>
                <w:rFonts w:eastAsia="方正仿宋_GBK"/>
                <w:sz w:val="21"/>
                <w:szCs w:val="21"/>
              </w:rPr>
            </w:pPr>
          </w:p>
        </w:tc>
        <w:tc>
          <w:tcPr>
            <w:tcW w:w="3127" w:type="dxa"/>
          </w:tcPr>
          <w:p w14:paraId="35974FE6">
            <w:pPr>
              <w:jc w:val="center"/>
              <w:rPr>
                <w:rFonts w:eastAsia="方正仿宋_GBK"/>
                <w:sz w:val="21"/>
                <w:szCs w:val="21"/>
              </w:rPr>
            </w:pPr>
          </w:p>
        </w:tc>
        <w:tc>
          <w:tcPr>
            <w:tcW w:w="1235" w:type="dxa"/>
            <w:vAlign w:val="center"/>
          </w:tcPr>
          <w:p w14:paraId="08E10299">
            <w:pPr>
              <w:jc w:val="center"/>
              <w:rPr>
                <w:rFonts w:eastAsia="方正仿宋_GBK"/>
                <w:sz w:val="21"/>
                <w:szCs w:val="21"/>
              </w:rPr>
            </w:pPr>
          </w:p>
        </w:tc>
        <w:tc>
          <w:tcPr>
            <w:tcW w:w="1235" w:type="dxa"/>
          </w:tcPr>
          <w:p w14:paraId="3B2D6B78">
            <w:pPr>
              <w:jc w:val="center"/>
              <w:rPr>
                <w:rFonts w:eastAsia="方正仿宋_GBK"/>
                <w:sz w:val="21"/>
                <w:szCs w:val="21"/>
              </w:rPr>
            </w:pPr>
          </w:p>
        </w:tc>
        <w:tc>
          <w:tcPr>
            <w:tcW w:w="1235" w:type="dxa"/>
          </w:tcPr>
          <w:p w14:paraId="5880A3CC">
            <w:pPr>
              <w:jc w:val="center"/>
              <w:rPr>
                <w:rFonts w:eastAsia="方正仿宋_GBK"/>
                <w:sz w:val="21"/>
                <w:szCs w:val="21"/>
              </w:rPr>
            </w:pPr>
          </w:p>
        </w:tc>
      </w:tr>
      <w:tr w14:paraId="7485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00D9574E">
            <w:pPr>
              <w:pStyle w:val="23"/>
              <w:spacing w:line="240" w:lineRule="atLeast"/>
              <w:ind w:left="3920"/>
              <w:jc w:val="center"/>
              <w:outlineLvl w:val="0"/>
              <w:rPr>
                <w:rFonts w:eastAsia="方正仿宋_GBK"/>
                <w:sz w:val="21"/>
                <w:szCs w:val="21"/>
              </w:rPr>
            </w:pPr>
            <w:r>
              <w:rPr>
                <w:rFonts w:eastAsia="方正仿宋_GBK"/>
                <w:sz w:val="21"/>
                <w:szCs w:val="21"/>
              </w:rPr>
              <w:t>9</w:t>
            </w:r>
          </w:p>
        </w:tc>
        <w:tc>
          <w:tcPr>
            <w:tcW w:w="1557" w:type="dxa"/>
            <w:vAlign w:val="center"/>
          </w:tcPr>
          <w:p w14:paraId="2CF6ECC1">
            <w:pPr>
              <w:jc w:val="center"/>
              <w:rPr>
                <w:rFonts w:eastAsia="方正仿宋_GBK"/>
                <w:sz w:val="21"/>
                <w:szCs w:val="21"/>
              </w:rPr>
            </w:pPr>
          </w:p>
        </w:tc>
        <w:tc>
          <w:tcPr>
            <w:tcW w:w="3127" w:type="dxa"/>
          </w:tcPr>
          <w:p w14:paraId="17E58268">
            <w:pPr>
              <w:jc w:val="center"/>
              <w:rPr>
                <w:rFonts w:eastAsia="方正仿宋_GBK"/>
                <w:sz w:val="21"/>
                <w:szCs w:val="21"/>
              </w:rPr>
            </w:pPr>
          </w:p>
        </w:tc>
        <w:tc>
          <w:tcPr>
            <w:tcW w:w="1235" w:type="dxa"/>
            <w:vAlign w:val="center"/>
          </w:tcPr>
          <w:p w14:paraId="5AC88A09">
            <w:pPr>
              <w:jc w:val="center"/>
              <w:rPr>
                <w:rFonts w:eastAsia="方正仿宋_GBK"/>
                <w:sz w:val="21"/>
                <w:szCs w:val="21"/>
              </w:rPr>
            </w:pPr>
          </w:p>
        </w:tc>
        <w:tc>
          <w:tcPr>
            <w:tcW w:w="1235" w:type="dxa"/>
          </w:tcPr>
          <w:p w14:paraId="5A6470F1">
            <w:pPr>
              <w:jc w:val="center"/>
              <w:rPr>
                <w:rFonts w:eastAsia="方正仿宋_GBK"/>
                <w:sz w:val="21"/>
                <w:szCs w:val="21"/>
              </w:rPr>
            </w:pPr>
          </w:p>
        </w:tc>
        <w:tc>
          <w:tcPr>
            <w:tcW w:w="1235" w:type="dxa"/>
          </w:tcPr>
          <w:p w14:paraId="5A4DC4D6">
            <w:pPr>
              <w:jc w:val="center"/>
              <w:rPr>
                <w:rFonts w:eastAsia="方正仿宋_GBK"/>
                <w:sz w:val="21"/>
                <w:szCs w:val="21"/>
              </w:rPr>
            </w:pPr>
          </w:p>
        </w:tc>
      </w:tr>
      <w:tr w14:paraId="09E3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33165D6C">
            <w:pPr>
              <w:pStyle w:val="23"/>
              <w:spacing w:line="240" w:lineRule="atLeast"/>
              <w:ind w:left="3920"/>
              <w:jc w:val="center"/>
              <w:outlineLvl w:val="0"/>
              <w:rPr>
                <w:rFonts w:eastAsia="方正仿宋_GBK"/>
                <w:sz w:val="21"/>
                <w:szCs w:val="21"/>
              </w:rPr>
            </w:pPr>
            <w:r>
              <w:rPr>
                <w:rFonts w:eastAsia="方正仿宋_GBK"/>
                <w:sz w:val="21"/>
                <w:szCs w:val="21"/>
              </w:rPr>
              <w:t>10</w:t>
            </w:r>
          </w:p>
        </w:tc>
        <w:tc>
          <w:tcPr>
            <w:tcW w:w="1557" w:type="dxa"/>
            <w:vAlign w:val="center"/>
          </w:tcPr>
          <w:p w14:paraId="7C0AC063">
            <w:pPr>
              <w:jc w:val="center"/>
              <w:rPr>
                <w:rFonts w:eastAsia="方正仿宋_GBK"/>
                <w:sz w:val="21"/>
                <w:szCs w:val="21"/>
              </w:rPr>
            </w:pPr>
          </w:p>
        </w:tc>
        <w:tc>
          <w:tcPr>
            <w:tcW w:w="3127" w:type="dxa"/>
          </w:tcPr>
          <w:p w14:paraId="43839318">
            <w:pPr>
              <w:jc w:val="center"/>
              <w:rPr>
                <w:rFonts w:eastAsia="方正仿宋_GBK"/>
                <w:sz w:val="21"/>
                <w:szCs w:val="21"/>
              </w:rPr>
            </w:pPr>
          </w:p>
        </w:tc>
        <w:tc>
          <w:tcPr>
            <w:tcW w:w="1235" w:type="dxa"/>
            <w:vAlign w:val="center"/>
          </w:tcPr>
          <w:p w14:paraId="29AEE6BF">
            <w:pPr>
              <w:jc w:val="center"/>
              <w:rPr>
                <w:rFonts w:eastAsia="方正仿宋_GBK"/>
                <w:sz w:val="21"/>
                <w:szCs w:val="21"/>
              </w:rPr>
            </w:pPr>
          </w:p>
        </w:tc>
        <w:tc>
          <w:tcPr>
            <w:tcW w:w="1235" w:type="dxa"/>
          </w:tcPr>
          <w:p w14:paraId="35D6FDDC">
            <w:pPr>
              <w:jc w:val="center"/>
              <w:rPr>
                <w:rFonts w:eastAsia="方正仿宋_GBK"/>
                <w:sz w:val="21"/>
                <w:szCs w:val="21"/>
              </w:rPr>
            </w:pPr>
          </w:p>
        </w:tc>
        <w:tc>
          <w:tcPr>
            <w:tcW w:w="1235" w:type="dxa"/>
          </w:tcPr>
          <w:p w14:paraId="13D5BDE9">
            <w:pPr>
              <w:jc w:val="center"/>
              <w:rPr>
                <w:rFonts w:eastAsia="方正仿宋_GBK"/>
                <w:sz w:val="21"/>
                <w:szCs w:val="21"/>
              </w:rPr>
            </w:pPr>
          </w:p>
        </w:tc>
      </w:tr>
      <w:tr w14:paraId="5454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71908662">
            <w:pPr>
              <w:pStyle w:val="23"/>
              <w:spacing w:line="240" w:lineRule="atLeast"/>
              <w:ind w:left="3920"/>
              <w:jc w:val="center"/>
              <w:outlineLvl w:val="0"/>
              <w:rPr>
                <w:rFonts w:eastAsia="方正仿宋_GBK"/>
                <w:sz w:val="21"/>
                <w:szCs w:val="21"/>
              </w:rPr>
            </w:pPr>
            <w:r>
              <w:rPr>
                <w:rFonts w:eastAsia="方正仿宋_GBK"/>
                <w:sz w:val="21"/>
                <w:szCs w:val="21"/>
              </w:rPr>
              <w:t>11</w:t>
            </w:r>
          </w:p>
        </w:tc>
        <w:tc>
          <w:tcPr>
            <w:tcW w:w="1557" w:type="dxa"/>
            <w:vAlign w:val="center"/>
          </w:tcPr>
          <w:p w14:paraId="508061ED">
            <w:pPr>
              <w:jc w:val="center"/>
              <w:rPr>
                <w:rFonts w:eastAsia="方正仿宋_GBK"/>
                <w:sz w:val="21"/>
                <w:szCs w:val="21"/>
              </w:rPr>
            </w:pPr>
          </w:p>
        </w:tc>
        <w:tc>
          <w:tcPr>
            <w:tcW w:w="3127" w:type="dxa"/>
          </w:tcPr>
          <w:p w14:paraId="6839928B">
            <w:pPr>
              <w:jc w:val="center"/>
              <w:rPr>
                <w:rFonts w:eastAsia="方正仿宋_GBK"/>
                <w:sz w:val="21"/>
                <w:szCs w:val="21"/>
              </w:rPr>
            </w:pPr>
          </w:p>
        </w:tc>
        <w:tc>
          <w:tcPr>
            <w:tcW w:w="1235" w:type="dxa"/>
            <w:vAlign w:val="center"/>
          </w:tcPr>
          <w:p w14:paraId="03B7C959">
            <w:pPr>
              <w:jc w:val="center"/>
              <w:rPr>
                <w:rFonts w:eastAsia="方正仿宋_GBK"/>
                <w:sz w:val="21"/>
                <w:szCs w:val="21"/>
              </w:rPr>
            </w:pPr>
          </w:p>
        </w:tc>
        <w:tc>
          <w:tcPr>
            <w:tcW w:w="1235" w:type="dxa"/>
          </w:tcPr>
          <w:p w14:paraId="3CB40F8F">
            <w:pPr>
              <w:jc w:val="center"/>
              <w:rPr>
                <w:rFonts w:eastAsia="方正仿宋_GBK"/>
                <w:sz w:val="21"/>
                <w:szCs w:val="21"/>
              </w:rPr>
            </w:pPr>
          </w:p>
        </w:tc>
        <w:tc>
          <w:tcPr>
            <w:tcW w:w="1235" w:type="dxa"/>
          </w:tcPr>
          <w:p w14:paraId="62C5AB93">
            <w:pPr>
              <w:jc w:val="center"/>
              <w:rPr>
                <w:rFonts w:eastAsia="方正仿宋_GBK"/>
                <w:sz w:val="21"/>
                <w:szCs w:val="21"/>
              </w:rPr>
            </w:pPr>
          </w:p>
        </w:tc>
      </w:tr>
      <w:tr w14:paraId="59CB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3ADB5FAC">
            <w:pPr>
              <w:pStyle w:val="23"/>
              <w:spacing w:line="240" w:lineRule="atLeast"/>
              <w:ind w:left="3920"/>
              <w:jc w:val="center"/>
              <w:outlineLvl w:val="0"/>
              <w:rPr>
                <w:rFonts w:eastAsia="方正仿宋_GBK"/>
                <w:sz w:val="21"/>
                <w:szCs w:val="21"/>
              </w:rPr>
            </w:pPr>
            <w:r>
              <w:rPr>
                <w:rFonts w:eastAsia="方正仿宋_GBK"/>
                <w:sz w:val="21"/>
                <w:szCs w:val="21"/>
              </w:rPr>
              <w:t>12</w:t>
            </w:r>
          </w:p>
        </w:tc>
        <w:tc>
          <w:tcPr>
            <w:tcW w:w="1557" w:type="dxa"/>
            <w:vAlign w:val="center"/>
          </w:tcPr>
          <w:p w14:paraId="0CF21863">
            <w:pPr>
              <w:jc w:val="center"/>
              <w:rPr>
                <w:rFonts w:eastAsia="方正仿宋_GBK"/>
                <w:sz w:val="21"/>
                <w:szCs w:val="21"/>
              </w:rPr>
            </w:pPr>
            <w:r>
              <w:rPr>
                <w:rFonts w:eastAsia="方正仿宋_GBK"/>
                <w:sz w:val="21"/>
                <w:szCs w:val="21"/>
              </w:rPr>
              <w:t>总计</w:t>
            </w:r>
          </w:p>
        </w:tc>
        <w:tc>
          <w:tcPr>
            <w:tcW w:w="6832" w:type="dxa"/>
            <w:gridSpan w:val="4"/>
          </w:tcPr>
          <w:p w14:paraId="3E9E4BB5">
            <w:pPr>
              <w:rPr>
                <w:rFonts w:eastAsia="方正仿宋_GBK"/>
                <w:sz w:val="21"/>
                <w:szCs w:val="21"/>
              </w:rPr>
            </w:pPr>
          </w:p>
        </w:tc>
      </w:tr>
    </w:tbl>
    <w:p w14:paraId="6264069E">
      <w:pPr>
        <w:snapToGrid w:val="0"/>
        <w:spacing w:line="500" w:lineRule="exact"/>
        <w:ind w:firstLine="480" w:firstLineChars="200"/>
        <w:rPr>
          <w:rFonts w:eastAsia="方正仿宋_GBK"/>
          <w:sz w:val="24"/>
          <w:szCs w:val="28"/>
        </w:rPr>
      </w:pPr>
    </w:p>
    <w:p w14:paraId="325EB696">
      <w:pPr>
        <w:snapToGrid w:val="0"/>
        <w:spacing w:line="500" w:lineRule="exact"/>
        <w:ind w:firstLine="480" w:firstLineChars="200"/>
        <w:rPr>
          <w:rFonts w:eastAsia="方正仿宋_GBK"/>
          <w:sz w:val="24"/>
          <w:szCs w:val="28"/>
        </w:rPr>
      </w:pPr>
      <w:r>
        <w:rPr>
          <w:rFonts w:eastAsia="方正仿宋_GBK"/>
          <w:sz w:val="24"/>
          <w:szCs w:val="28"/>
        </w:rPr>
        <w:t>注：1.供应商应完整填写本表。</w:t>
      </w:r>
    </w:p>
    <w:p w14:paraId="768F7480">
      <w:pPr>
        <w:snapToGrid w:val="0"/>
        <w:spacing w:line="500" w:lineRule="exact"/>
        <w:rPr>
          <w:rFonts w:eastAsia="方正仿宋_GBK"/>
          <w:sz w:val="24"/>
          <w:szCs w:val="28"/>
        </w:rPr>
      </w:pPr>
      <w:r>
        <w:rPr>
          <w:rFonts w:eastAsia="方正仿宋_GBK"/>
          <w:sz w:val="24"/>
          <w:szCs w:val="28"/>
        </w:rPr>
        <w:t xml:space="preserve">        2.该表可扩展</w:t>
      </w:r>
      <w:bookmarkStart w:id="90" w:name="OLE_LINK2"/>
      <w:bookmarkStart w:id="91" w:name="OLE_LINK1"/>
      <w:r>
        <w:rPr>
          <w:rFonts w:eastAsia="方正仿宋_GBK"/>
          <w:sz w:val="24"/>
          <w:szCs w:val="28"/>
        </w:rPr>
        <w:t>。</w:t>
      </w:r>
      <w:bookmarkEnd w:id="90"/>
      <w:bookmarkEnd w:id="91"/>
    </w:p>
    <w:p w14:paraId="787554CC">
      <w:pPr>
        <w:pStyle w:val="37"/>
        <w:spacing w:line="360" w:lineRule="auto"/>
        <w:rPr>
          <w:rFonts w:eastAsia="方正仿宋_GBK"/>
          <w:sz w:val="24"/>
          <w:szCs w:val="24"/>
        </w:rPr>
      </w:pPr>
    </w:p>
    <w:p w14:paraId="48431184">
      <w:pPr>
        <w:pStyle w:val="37"/>
        <w:spacing w:line="360" w:lineRule="auto"/>
        <w:rPr>
          <w:rFonts w:eastAsia="方正仿宋_GBK"/>
          <w:sz w:val="24"/>
          <w:szCs w:val="24"/>
        </w:rPr>
      </w:pPr>
      <w:r>
        <w:rPr>
          <w:rFonts w:eastAsia="方正仿宋_GBK"/>
          <w:sz w:val="24"/>
          <w:szCs w:val="24"/>
        </w:rPr>
        <w:t xml:space="preserve">            </w:t>
      </w:r>
    </w:p>
    <w:p w14:paraId="5003D516"/>
    <w:p w14:paraId="3E12888E"/>
    <w:p w14:paraId="680D8813">
      <w:pPr>
        <w:spacing w:line="360" w:lineRule="auto"/>
      </w:pPr>
      <w:r>
        <w:rPr>
          <w:rFonts w:eastAsia="方正仿宋_GBK"/>
          <w:sz w:val="24"/>
          <w:szCs w:val="24"/>
        </w:rPr>
        <w:t xml:space="preserve">                                             供应商名称（公章）或自然人签署：</w:t>
      </w:r>
    </w:p>
    <w:p w14:paraId="6A2A2E98">
      <w:pPr>
        <w:spacing w:line="360" w:lineRule="auto"/>
        <w:ind w:right="480" w:firstLine="6480" w:firstLineChars="2700"/>
        <w:rPr>
          <w:rFonts w:eastAsia="方正仿宋_GBK"/>
          <w:sz w:val="24"/>
          <w:szCs w:val="24"/>
        </w:rPr>
      </w:pPr>
      <w:r>
        <w:rPr>
          <w:rFonts w:eastAsia="方正仿宋_GBK"/>
          <w:sz w:val="24"/>
          <w:szCs w:val="24"/>
        </w:rPr>
        <w:t>年     月    日</w:t>
      </w:r>
    </w:p>
    <w:p w14:paraId="6F4A7A6C">
      <w:pPr>
        <w:snapToGrid w:val="0"/>
        <w:spacing w:line="360" w:lineRule="auto"/>
        <w:ind w:firstLine="480" w:firstLineChars="200"/>
        <w:rPr>
          <w:rFonts w:eastAsia="方正仿宋_GBK"/>
          <w:sz w:val="24"/>
          <w:szCs w:val="24"/>
          <w:bdr w:val="single" w:color="auto" w:sz="4" w:space="0"/>
        </w:rPr>
        <w:sectPr>
          <w:headerReference r:id="rId9" w:type="default"/>
          <w:pgSz w:w="11907" w:h="16840"/>
          <w:pgMar w:top="1134" w:right="1191" w:bottom="1134" w:left="1304" w:header="851" w:footer="992" w:gutter="0"/>
          <w:cols w:space="720" w:num="1"/>
          <w:docGrid w:linePitch="380" w:charSpace="-5735"/>
        </w:sectPr>
      </w:pPr>
    </w:p>
    <w:p w14:paraId="17476F15">
      <w:pPr>
        <w:pStyle w:val="3"/>
        <w:adjustRightInd w:val="0"/>
        <w:snapToGrid w:val="0"/>
        <w:spacing w:before="0" w:after="0" w:line="400" w:lineRule="exact"/>
        <w:ind w:firstLine="482" w:firstLineChars="200"/>
        <w:rPr>
          <w:rFonts w:ascii="Times New Roman" w:hAnsi="Times New Roman" w:eastAsia="方正仿宋_GBK"/>
          <w:sz w:val="24"/>
        </w:rPr>
      </w:pPr>
      <w:bookmarkStart w:id="92" w:name="_Toc342913420"/>
      <w:bookmarkStart w:id="93" w:name="_Toc106030907"/>
      <w:bookmarkStart w:id="94" w:name="_Toc313888361"/>
      <w:bookmarkStart w:id="95" w:name="_Toc313008357"/>
      <w:bookmarkStart w:id="96" w:name="_Toc76462351"/>
      <w:r>
        <w:rPr>
          <w:rFonts w:ascii="Times New Roman" w:hAnsi="Times New Roman" w:eastAsia="方正仿宋_GBK"/>
          <w:sz w:val="24"/>
        </w:rPr>
        <w:t>二、</w:t>
      </w:r>
      <w:r>
        <w:rPr>
          <w:rFonts w:hint="eastAsia" w:ascii="Times New Roman" w:hAnsi="Times New Roman" w:eastAsia="方正仿宋_GBK"/>
          <w:sz w:val="24"/>
        </w:rPr>
        <w:t>技术、</w:t>
      </w:r>
      <w:r>
        <w:rPr>
          <w:rFonts w:ascii="Times New Roman" w:hAnsi="Times New Roman" w:eastAsia="方正仿宋_GBK"/>
          <w:sz w:val="24"/>
        </w:rPr>
        <w:t>服务部分</w:t>
      </w:r>
      <w:bookmarkEnd w:id="92"/>
      <w:bookmarkEnd w:id="93"/>
      <w:bookmarkEnd w:id="94"/>
      <w:bookmarkEnd w:id="95"/>
      <w:bookmarkEnd w:id="96"/>
    </w:p>
    <w:p w14:paraId="2A7D3732">
      <w:pPr>
        <w:tabs>
          <w:tab w:val="left" w:pos="6300"/>
        </w:tabs>
        <w:snapToGrid w:val="0"/>
        <w:spacing w:line="400" w:lineRule="exact"/>
        <w:ind w:firstLine="480" w:firstLineChars="200"/>
        <w:rPr>
          <w:rFonts w:eastAsia="方正仿宋_GBK"/>
          <w:szCs w:val="24"/>
        </w:rPr>
      </w:pPr>
      <w:r>
        <w:rPr>
          <w:rFonts w:eastAsia="方正仿宋_GBK"/>
          <w:sz w:val="24"/>
          <w:szCs w:val="24"/>
        </w:rPr>
        <w:t>（一）</w:t>
      </w:r>
      <w:r>
        <w:rPr>
          <w:rFonts w:hint="eastAsia" w:eastAsia="方正仿宋_GBK"/>
          <w:sz w:val="24"/>
          <w:szCs w:val="24"/>
        </w:rPr>
        <w:t>技术、</w:t>
      </w:r>
      <w:r>
        <w:rPr>
          <w:rFonts w:eastAsia="方正仿宋_GBK"/>
          <w:sz w:val="24"/>
          <w:szCs w:val="24"/>
        </w:rPr>
        <w:t>服务响应偏离表</w:t>
      </w:r>
    </w:p>
    <w:p w14:paraId="20BB4658">
      <w:pPr>
        <w:spacing w:line="400" w:lineRule="exact"/>
        <w:ind w:firstLine="480" w:firstLineChars="200"/>
        <w:rPr>
          <w:rFonts w:eastAsia="方正仿宋_GBK"/>
          <w:sz w:val="24"/>
          <w:szCs w:val="24"/>
        </w:rPr>
      </w:pPr>
      <w:r>
        <w:rPr>
          <w:rFonts w:eastAsia="方正仿宋_GBK"/>
          <w:sz w:val="24"/>
          <w:szCs w:val="24"/>
        </w:rPr>
        <w:t xml:space="preserve">项目号：                                </w:t>
      </w:r>
    </w:p>
    <w:p w14:paraId="4B8654E4">
      <w:pPr>
        <w:spacing w:line="400" w:lineRule="exact"/>
        <w:ind w:firstLine="480" w:firstLineChars="200"/>
        <w:rPr>
          <w:rFonts w:eastAsia="方正仿宋_GBK"/>
          <w:sz w:val="24"/>
          <w:szCs w:val="24"/>
        </w:rPr>
      </w:pPr>
      <w:r>
        <w:rPr>
          <w:rFonts w:eastAsia="方正仿宋_GBK"/>
          <w:sz w:val="24"/>
          <w:szCs w:val="24"/>
        </w:rPr>
        <w:t>项目名称：</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2898"/>
        <w:gridCol w:w="3009"/>
        <w:gridCol w:w="2255"/>
      </w:tblGrid>
      <w:tr w14:paraId="2AA7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vAlign w:val="center"/>
          </w:tcPr>
          <w:p w14:paraId="7B738E22">
            <w:pPr>
              <w:tabs>
                <w:tab w:val="left" w:pos="6300"/>
              </w:tabs>
              <w:snapToGrid w:val="0"/>
              <w:spacing w:line="500" w:lineRule="exact"/>
              <w:jc w:val="center"/>
              <w:outlineLvl w:val="0"/>
              <w:rPr>
                <w:rFonts w:eastAsia="方正仿宋_GBK"/>
                <w:sz w:val="21"/>
                <w:szCs w:val="21"/>
              </w:rPr>
            </w:pPr>
            <w:r>
              <w:rPr>
                <w:rFonts w:eastAsia="方正仿宋_GBK"/>
                <w:sz w:val="21"/>
                <w:szCs w:val="21"/>
              </w:rPr>
              <w:t>序号</w:t>
            </w:r>
          </w:p>
        </w:tc>
        <w:tc>
          <w:tcPr>
            <w:tcW w:w="1541" w:type="pct"/>
            <w:vAlign w:val="center"/>
          </w:tcPr>
          <w:p w14:paraId="1B20B05B">
            <w:pPr>
              <w:tabs>
                <w:tab w:val="left" w:pos="6300"/>
              </w:tabs>
              <w:snapToGrid w:val="0"/>
              <w:spacing w:line="500" w:lineRule="exact"/>
              <w:jc w:val="center"/>
              <w:outlineLvl w:val="0"/>
              <w:rPr>
                <w:rFonts w:eastAsia="方正仿宋_GBK"/>
                <w:sz w:val="21"/>
                <w:szCs w:val="21"/>
              </w:rPr>
            </w:pPr>
            <w:r>
              <w:rPr>
                <w:rFonts w:eastAsia="方正仿宋_GBK"/>
                <w:sz w:val="21"/>
                <w:szCs w:val="21"/>
              </w:rPr>
              <w:t>采购需求</w:t>
            </w:r>
          </w:p>
        </w:tc>
        <w:tc>
          <w:tcPr>
            <w:tcW w:w="1600" w:type="pct"/>
            <w:vAlign w:val="center"/>
          </w:tcPr>
          <w:p w14:paraId="501A4C3A">
            <w:pPr>
              <w:tabs>
                <w:tab w:val="left" w:pos="6300"/>
              </w:tabs>
              <w:snapToGrid w:val="0"/>
              <w:spacing w:line="500" w:lineRule="exact"/>
              <w:jc w:val="center"/>
              <w:outlineLvl w:val="0"/>
              <w:rPr>
                <w:rFonts w:eastAsia="方正仿宋_GBK"/>
                <w:sz w:val="21"/>
                <w:szCs w:val="21"/>
              </w:rPr>
            </w:pPr>
            <w:r>
              <w:rPr>
                <w:rFonts w:eastAsia="方正仿宋_GBK"/>
                <w:sz w:val="21"/>
                <w:szCs w:val="21"/>
              </w:rPr>
              <w:t>响应情况</w:t>
            </w:r>
          </w:p>
        </w:tc>
        <w:tc>
          <w:tcPr>
            <w:tcW w:w="1199" w:type="pct"/>
            <w:vAlign w:val="center"/>
          </w:tcPr>
          <w:p w14:paraId="1BEB3D9D">
            <w:pPr>
              <w:tabs>
                <w:tab w:val="left" w:pos="6300"/>
              </w:tabs>
              <w:snapToGrid w:val="0"/>
              <w:spacing w:line="500" w:lineRule="exact"/>
              <w:jc w:val="center"/>
              <w:outlineLvl w:val="0"/>
              <w:rPr>
                <w:rFonts w:eastAsia="方正仿宋_GBK"/>
                <w:sz w:val="21"/>
                <w:szCs w:val="21"/>
              </w:rPr>
            </w:pPr>
            <w:r>
              <w:rPr>
                <w:rFonts w:eastAsia="方正仿宋_GBK"/>
                <w:sz w:val="21"/>
                <w:szCs w:val="21"/>
              </w:rPr>
              <w:t>差异说明</w:t>
            </w:r>
          </w:p>
        </w:tc>
      </w:tr>
      <w:tr w14:paraId="744C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775E73AF">
            <w:pPr>
              <w:tabs>
                <w:tab w:val="left" w:pos="6300"/>
              </w:tabs>
              <w:snapToGrid w:val="0"/>
              <w:spacing w:line="500" w:lineRule="exact"/>
              <w:jc w:val="center"/>
              <w:outlineLvl w:val="0"/>
              <w:rPr>
                <w:rFonts w:eastAsia="方正仿宋_GBK"/>
                <w:sz w:val="21"/>
                <w:szCs w:val="21"/>
              </w:rPr>
            </w:pPr>
          </w:p>
        </w:tc>
        <w:tc>
          <w:tcPr>
            <w:tcW w:w="1541" w:type="pct"/>
            <w:vAlign w:val="center"/>
          </w:tcPr>
          <w:p w14:paraId="7D88F396">
            <w:pPr>
              <w:tabs>
                <w:tab w:val="left" w:pos="6300"/>
              </w:tabs>
              <w:snapToGrid w:val="0"/>
              <w:spacing w:line="500" w:lineRule="exact"/>
              <w:jc w:val="center"/>
              <w:outlineLvl w:val="0"/>
              <w:rPr>
                <w:rFonts w:eastAsia="方正仿宋_GBK"/>
                <w:sz w:val="21"/>
                <w:szCs w:val="21"/>
              </w:rPr>
            </w:pPr>
          </w:p>
        </w:tc>
        <w:tc>
          <w:tcPr>
            <w:tcW w:w="1600" w:type="pct"/>
            <w:vAlign w:val="center"/>
          </w:tcPr>
          <w:p w14:paraId="09F5BACE">
            <w:pPr>
              <w:tabs>
                <w:tab w:val="left" w:pos="6300"/>
              </w:tabs>
              <w:snapToGrid w:val="0"/>
              <w:spacing w:line="500" w:lineRule="exact"/>
              <w:outlineLvl w:val="0"/>
              <w:rPr>
                <w:rFonts w:eastAsia="方正仿宋_GBK"/>
                <w:sz w:val="21"/>
                <w:szCs w:val="21"/>
              </w:rPr>
            </w:pPr>
            <w:r>
              <w:rPr>
                <w:rFonts w:eastAsia="方正仿宋_GBK"/>
                <w:sz w:val="21"/>
                <w:szCs w:val="21"/>
              </w:rPr>
              <w:t>提醒：请注明技术参数或具体内容以及响应文件中技术参数或具体内容的位置（页码）</w:t>
            </w:r>
          </w:p>
        </w:tc>
        <w:tc>
          <w:tcPr>
            <w:tcW w:w="1199" w:type="pct"/>
            <w:vAlign w:val="center"/>
          </w:tcPr>
          <w:p w14:paraId="330C274F">
            <w:pPr>
              <w:tabs>
                <w:tab w:val="left" w:pos="6300"/>
              </w:tabs>
              <w:snapToGrid w:val="0"/>
              <w:spacing w:line="500" w:lineRule="exact"/>
              <w:jc w:val="center"/>
              <w:outlineLvl w:val="0"/>
              <w:rPr>
                <w:rFonts w:eastAsia="方正仿宋_GBK"/>
                <w:sz w:val="21"/>
                <w:szCs w:val="21"/>
              </w:rPr>
            </w:pPr>
          </w:p>
        </w:tc>
      </w:tr>
      <w:tr w14:paraId="619D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43DCAB50">
            <w:pPr>
              <w:tabs>
                <w:tab w:val="left" w:pos="6300"/>
              </w:tabs>
              <w:snapToGrid w:val="0"/>
              <w:spacing w:line="500" w:lineRule="exact"/>
              <w:jc w:val="center"/>
              <w:outlineLvl w:val="0"/>
              <w:rPr>
                <w:rFonts w:eastAsia="方正仿宋_GBK"/>
                <w:sz w:val="21"/>
                <w:szCs w:val="21"/>
              </w:rPr>
            </w:pPr>
          </w:p>
        </w:tc>
        <w:tc>
          <w:tcPr>
            <w:tcW w:w="1541" w:type="pct"/>
            <w:vAlign w:val="center"/>
          </w:tcPr>
          <w:p w14:paraId="03A4F95A">
            <w:pPr>
              <w:tabs>
                <w:tab w:val="left" w:pos="6300"/>
              </w:tabs>
              <w:snapToGrid w:val="0"/>
              <w:spacing w:line="500" w:lineRule="exact"/>
              <w:jc w:val="center"/>
              <w:outlineLvl w:val="0"/>
              <w:rPr>
                <w:rFonts w:eastAsia="方正仿宋_GBK"/>
                <w:sz w:val="21"/>
                <w:szCs w:val="21"/>
              </w:rPr>
            </w:pPr>
          </w:p>
        </w:tc>
        <w:tc>
          <w:tcPr>
            <w:tcW w:w="1600" w:type="pct"/>
            <w:vAlign w:val="center"/>
          </w:tcPr>
          <w:p w14:paraId="6AFEAAA3">
            <w:pPr>
              <w:tabs>
                <w:tab w:val="left" w:pos="6300"/>
              </w:tabs>
              <w:snapToGrid w:val="0"/>
              <w:spacing w:line="500" w:lineRule="exact"/>
              <w:jc w:val="center"/>
              <w:outlineLvl w:val="0"/>
              <w:rPr>
                <w:rFonts w:eastAsia="方正仿宋_GBK"/>
                <w:sz w:val="21"/>
                <w:szCs w:val="21"/>
              </w:rPr>
            </w:pPr>
          </w:p>
        </w:tc>
        <w:tc>
          <w:tcPr>
            <w:tcW w:w="1199" w:type="pct"/>
            <w:vAlign w:val="center"/>
          </w:tcPr>
          <w:p w14:paraId="46E53137">
            <w:pPr>
              <w:tabs>
                <w:tab w:val="left" w:pos="6300"/>
              </w:tabs>
              <w:snapToGrid w:val="0"/>
              <w:spacing w:line="500" w:lineRule="exact"/>
              <w:jc w:val="center"/>
              <w:outlineLvl w:val="0"/>
              <w:rPr>
                <w:rFonts w:eastAsia="方正仿宋_GBK"/>
                <w:sz w:val="21"/>
                <w:szCs w:val="21"/>
              </w:rPr>
            </w:pPr>
          </w:p>
        </w:tc>
      </w:tr>
      <w:tr w14:paraId="0B1D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023A9423">
            <w:pPr>
              <w:tabs>
                <w:tab w:val="left" w:pos="6300"/>
              </w:tabs>
              <w:snapToGrid w:val="0"/>
              <w:spacing w:line="500" w:lineRule="exact"/>
              <w:jc w:val="center"/>
              <w:outlineLvl w:val="0"/>
              <w:rPr>
                <w:rFonts w:eastAsia="方正仿宋_GBK"/>
                <w:sz w:val="21"/>
                <w:szCs w:val="21"/>
              </w:rPr>
            </w:pPr>
          </w:p>
        </w:tc>
        <w:tc>
          <w:tcPr>
            <w:tcW w:w="1541" w:type="pct"/>
            <w:vAlign w:val="center"/>
          </w:tcPr>
          <w:p w14:paraId="1C51AF73">
            <w:pPr>
              <w:tabs>
                <w:tab w:val="left" w:pos="6300"/>
              </w:tabs>
              <w:snapToGrid w:val="0"/>
              <w:spacing w:line="500" w:lineRule="exact"/>
              <w:jc w:val="center"/>
              <w:outlineLvl w:val="0"/>
              <w:rPr>
                <w:rFonts w:eastAsia="方正仿宋_GBK"/>
                <w:sz w:val="21"/>
                <w:szCs w:val="21"/>
              </w:rPr>
            </w:pPr>
          </w:p>
        </w:tc>
        <w:tc>
          <w:tcPr>
            <w:tcW w:w="1600" w:type="pct"/>
            <w:vAlign w:val="center"/>
          </w:tcPr>
          <w:p w14:paraId="04C4931E">
            <w:pPr>
              <w:tabs>
                <w:tab w:val="left" w:pos="6300"/>
              </w:tabs>
              <w:snapToGrid w:val="0"/>
              <w:spacing w:line="500" w:lineRule="exact"/>
              <w:jc w:val="center"/>
              <w:outlineLvl w:val="0"/>
              <w:rPr>
                <w:rFonts w:eastAsia="方正仿宋_GBK"/>
                <w:sz w:val="21"/>
                <w:szCs w:val="21"/>
              </w:rPr>
            </w:pPr>
          </w:p>
        </w:tc>
        <w:tc>
          <w:tcPr>
            <w:tcW w:w="1199" w:type="pct"/>
            <w:vAlign w:val="center"/>
          </w:tcPr>
          <w:p w14:paraId="044CA332">
            <w:pPr>
              <w:tabs>
                <w:tab w:val="left" w:pos="6300"/>
              </w:tabs>
              <w:snapToGrid w:val="0"/>
              <w:spacing w:line="500" w:lineRule="exact"/>
              <w:jc w:val="center"/>
              <w:outlineLvl w:val="0"/>
              <w:rPr>
                <w:rFonts w:eastAsia="方正仿宋_GBK"/>
                <w:sz w:val="21"/>
                <w:szCs w:val="21"/>
              </w:rPr>
            </w:pPr>
          </w:p>
        </w:tc>
      </w:tr>
      <w:tr w14:paraId="6CB0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7FDD08EC">
            <w:pPr>
              <w:tabs>
                <w:tab w:val="left" w:pos="6300"/>
              </w:tabs>
              <w:snapToGrid w:val="0"/>
              <w:spacing w:line="500" w:lineRule="exact"/>
              <w:jc w:val="center"/>
              <w:outlineLvl w:val="0"/>
              <w:rPr>
                <w:rFonts w:eastAsia="方正仿宋_GBK"/>
                <w:sz w:val="21"/>
                <w:szCs w:val="21"/>
              </w:rPr>
            </w:pPr>
          </w:p>
        </w:tc>
        <w:tc>
          <w:tcPr>
            <w:tcW w:w="1541" w:type="pct"/>
            <w:vAlign w:val="center"/>
          </w:tcPr>
          <w:p w14:paraId="5DAC4509">
            <w:pPr>
              <w:tabs>
                <w:tab w:val="left" w:pos="6300"/>
              </w:tabs>
              <w:snapToGrid w:val="0"/>
              <w:spacing w:line="500" w:lineRule="exact"/>
              <w:jc w:val="center"/>
              <w:outlineLvl w:val="0"/>
              <w:rPr>
                <w:rFonts w:eastAsia="方正仿宋_GBK"/>
                <w:sz w:val="21"/>
                <w:szCs w:val="21"/>
              </w:rPr>
            </w:pPr>
          </w:p>
        </w:tc>
        <w:tc>
          <w:tcPr>
            <w:tcW w:w="1600" w:type="pct"/>
            <w:vAlign w:val="center"/>
          </w:tcPr>
          <w:p w14:paraId="34E15B7D">
            <w:pPr>
              <w:tabs>
                <w:tab w:val="left" w:pos="6300"/>
              </w:tabs>
              <w:snapToGrid w:val="0"/>
              <w:spacing w:line="500" w:lineRule="exact"/>
              <w:jc w:val="center"/>
              <w:outlineLvl w:val="0"/>
              <w:rPr>
                <w:rFonts w:eastAsia="方正仿宋_GBK"/>
                <w:sz w:val="21"/>
                <w:szCs w:val="21"/>
              </w:rPr>
            </w:pPr>
          </w:p>
        </w:tc>
        <w:tc>
          <w:tcPr>
            <w:tcW w:w="1199" w:type="pct"/>
            <w:vAlign w:val="center"/>
          </w:tcPr>
          <w:p w14:paraId="447F8F7E">
            <w:pPr>
              <w:tabs>
                <w:tab w:val="left" w:pos="6300"/>
              </w:tabs>
              <w:snapToGrid w:val="0"/>
              <w:spacing w:line="500" w:lineRule="exact"/>
              <w:jc w:val="center"/>
              <w:outlineLvl w:val="0"/>
              <w:rPr>
                <w:rFonts w:eastAsia="方正仿宋_GBK"/>
                <w:sz w:val="21"/>
                <w:szCs w:val="21"/>
              </w:rPr>
            </w:pPr>
          </w:p>
        </w:tc>
      </w:tr>
      <w:tr w14:paraId="398A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53DF2F69">
            <w:pPr>
              <w:tabs>
                <w:tab w:val="left" w:pos="6300"/>
              </w:tabs>
              <w:snapToGrid w:val="0"/>
              <w:spacing w:line="500" w:lineRule="exact"/>
              <w:jc w:val="center"/>
              <w:outlineLvl w:val="0"/>
              <w:rPr>
                <w:rFonts w:eastAsia="方正仿宋_GBK"/>
                <w:sz w:val="21"/>
                <w:szCs w:val="21"/>
              </w:rPr>
            </w:pPr>
          </w:p>
        </w:tc>
        <w:tc>
          <w:tcPr>
            <w:tcW w:w="1541" w:type="pct"/>
            <w:vAlign w:val="center"/>
          </w:tcPr>
          <w:p w14:paraId="342AA8AF">
            <w:pPr>
              <w:tabs>
                <w:tab w:val="left" w:pos="6300"/>
              </w:tabs>
              <w:snapToGrid w:val="0"/>
              <w:spacing w:line="500" w:lineRule="exact"/>
              <w:jc w:val="center"/>
              <w:outlineLvl w:val="0"/>
              <w:rPr>
                <w:rFonts w:eastAsia="方正仿宋_GBK"/>
                <w:sz w:val="21"/>
                <w:szCs w:val="21"/>
              </w:rPr>
            </w:pPr>
          </w:p>
        </w:tc>
        <w:tc>
          <w:tcPr>
            <w:tcW w:w="1600" w:type="pct"/>
            <w:vAlign w:val="center"/>
          </w:tcPr>
          <w:p w14:paraId="63961DBC">
            <w:pPr>
              <w:tabs>
                <w:tab w:val="left" w:pos="6300"/>
              </w:tabs>
              <w:snapToGrid w:val="0"/>
              <w:spacing w:line="500" w:lineRule="exact"/>
              <w:jc w:val="center"/>
              <w:outlineLvl w:val="0"/>
              <w:rPr>
                <w:rFonts w:eastAsia="方正仿宋_GBK"/>
                <w:sz w:val="21"/>
                <w:szCs w:val="21"/>
              </w:rPr>
            </w:pPr>
          </w:p>
        </w:tc>
        <w:tc>
          <w:tcPr>
            <w:tcW w:w="1199" w:type="pct"/>
            <w:vAlign w:val="center"/>
          </w:tcPr>
          <w:p w14:paraId="10FF9F2C">
            <w:pPr>
              <w:tabs>
                <w:tab w:val="left" w:pos="6300"/>
              </w:tabs>
              <w:snapToGrid w:val="0"/>
              <w:spacing w:line="500" w:lineRule="exact"/>
              <w:jc w:val="center"/>
              <w:outlineLvl w:val="0"/>
              <w:rPr>
                <w:rFonts w:eastAsia="方正仿宋_GBK"/>
                <w:sz w:val="21"/>
                <w:szCs w:val="21"/>
              </w:rPr>
            </w:pPr>
          </w:p>
        </w:tc>
      </w:tr>
      <w:tr w14:paraId="1D9C1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04224AF6">
            <w:pPr>
              <w:tabs>
                <w:tab w:val="left" w:pos="6300"/>
              </w:tabs>
              <w:snapToGrid w:val="0"/>
              <w:spacing w:line="500" w:lineRule="exact"/>
              <w:jc w:val="center"/>
              <w:outlineLvl w:val="0"/>
              <w:rPr>
                <w:rFonts w:eastAsia="方正仿宋_GBK"/>
                <w:sz w:val="21"/>
                <w:szCs w:val="21"/>
              </w:rPr>
            </w:pPr>
          </w:p>
        </w:tc>
        <w:tc>
          <w:tcPr>
            <w:tcW w:w="1541" w:type="pct"/>
            <w:vAlign w:val="center"/>
          </w:tcPr>
          <w:p w14:paraId="32A26AAD">
            <w:pPr>
              <w:tabs>
                <w:tab w:val="left" w:pos="6300"/>
              </w:tabs>
              <w:snapToGrid w:val="0"/>
              <w:spacing w:line="500" w:lineRule="exact"/>
              <w:jc w:val="center"/>
              <w:outlineLvl w:val="0"/>
              <w:rPr>
                <w:rFonts w:eastAsia="方正仿宋_GBK"/>
                <w:sz w:val="21"/>
                <w:szCs w:val="21"/>
              </w:rPr>
            </w:pPr>
          </w:p>
        </w:tc>
        <w:tc>
          <w:tcPr>
            <w:tcW w:w="1600" w:type="pct"/>
            <w:vAlign w:val="center"/>
          </w:tcPr>
          <w:p w14:paraId="1BE3483D">
            <w:pPr>
              <w:tabs>
                <w:tab w:val="left" w:pos="6300"/>
              </w:tabs>
              <w:snapToGrid w:val="0"/>
              <w:spacing w:line="500" w:lineRule="exact"/>
              <w:jc w:val="center"/>
              <w:outlineLvl w:val="0"/>
              <w:rPr>
                <w:rFonts w:eastAsia="方正仿宋_GBK"/>
                <w:sz w:val="21"/>
                <w:szCs w:val="21"/>
              </w:rPr>
            </w:pPr>
          </w:p>
        </w:tc>
        <w:tc>
          <w:tcPr>
            <w:tcW w:w="1199" w:type="pct"/>
            <w:vAlign w:val="center"/>
          </w:tcPr>
          <w:p w14:paraId="79571A62">
            <w:pPr>
              <w:tabs>
                <w:tab w:val="left" w:pos="6300"/>
              </w:tabs>
              <w:snapToGrid w:val="0"/>
              <w:spacing w:line="500" w:lineRule="exact"/>
              <w:jc w:val="center"/>
              <w:outlineLvl w:val="0"/>
              <w:rPr>
                <w:rFonts w:eastAsia="方正仿宋_GBK"/>
                <w:sz w:val="21"/>
                <w:szCs w:val="21"/>
              </w:rPr>
            </w:pPr>
          </w:p>
        </w:tc>
      </w:tr>
      <w:tr w14:paraId="1346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07AD45E6">
            <w:pPr>
              <w:tabs>
                <w:tab w:val="left" w:pos="6300"/>
              </w:tabs>
              <w:snapToGrid w:val="0"/>
              <w:spacing w:line="500" w:lineRule="exact"/>
              <w:jc w:val="center"/>
              <w:outlineLvl w:val="0"/>
              <w:rPr>
                <w:rFonts w:eastAsia="方正仿宋_GBK"/>
                <w:sz w:val="21"/>
                <w:szCs w:val="21"/>
              </w:rPr>
            </w:pPr>
          </w:p>
        </w:tc>
        <w:tc>
          <w:tcPr>
            <w:tcW w:w="1541" w:type="pct"/>
            <w:vAlign w:val="center"/>
          </w:tcPr>
          <w:p w14:paraId="1D5F4A0B">
            <w:pPr>
              <w:tabs>
                <w:tab w:val="left" w:pos="6300"/>
              </w:tabs>
              <w:snapToGrid w:val="0"/>
              <w:spacing w:line="500" w:lineRule="exact"/>
              <w:jc w:val="center"/>
              <w:outlineLvl w:val="0"/>
              <w:rPr>
                <w:rFonts w:eastAsia="方正仿宋_GBK"/>
                <w:sz w:val="21"/>
                <w:szCs w:val="21"/>
              </w:rPr>
            </w:pPr>
          </w:p>
        </w:tc>
        <w:tc>
          <w:tcPr>
            <w:tcW w:w="1600" w:type="pct"/>
            <w:vAlign w:val="center"/>
          </w:tcPr>
          <w:p w14:paraId="6BA85864">
            <w:pPr>
              <w:tabs>
                <w:tab w:val="left" w:pos="6300"/>
              </w:tabs>
              <w:snapToGrid w:val="0"/>
              <w:spacing w:line="500" w:lineRule="exact"/>
              <w:jc w:val="center"/>
              <w:outlineLvl w:val="0"/>
              <w:rPr>
                <w:rFonts w:eastAsia="方正仿宋_GBK"/>
                <w:sz w:val="21"/>
                <w:szCs w:val="21"/>
              </w:rPr>
            </w:pPr>
          </w:p>
        </w:tc>
        <w:tc>
          <w:tcPr>
            <w:tcW w:w="1199" w:type="pct"/>
            <w:vAlign w:val="center"/>
          </w:tcPr>
          <w:p w14:paraId="3453F0B6">
            <w:pPr>
              <w:tabs>
                <w:tab w:val="left" w:pos="6300"/>
              </w:tabs>
              <w:snapToGrid w:val="0"/>
              <w:spacing w:line="500" w:lineRule="exact"/>
              <w:jc w:val="center"/>
              <w:outlineLvl w:val="0"/>
              <w:rPr>
                <w:rFonts w:eastAsia="方正仿宋_GBK"/>
                <w:sz w:val="21"/>
                <w:szCs w:val="21"/>
              </w:rPr>
            </w:pPr>
          </w:p>
        </w:tc>
      </w:tr>
      <w:tr w14:paraId="643A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08B8DB3C">
            <w:pPr>
              <w:tabs>
                <w:tab w:val="left" w:pos="6300"/>
              </w:tabs>
              <w:snapToGrid w:val="0"/>
              <w:spacing w:line="500" w:lineRule="exact"/>
              <w:jc w:val="center"/>
              <w:outlineLvl w:val="0"/>
              <w:rPr>
                <w:rFonts w:eastAsia="方正仿宋_GBK"/>
                <w:sz w:val="21"/>
                <w:szCs w:val="21"/>
              </w:rPr>
            </w:pPr>
          </w:p>
        </w:tc>
        <w:tc>
          <w:tcPr>
            <w:tcW w:w="1541" w:type="pct"/>
            <w:vAlign w:val="center"/>
          </w:tcPr>
          <w:p w14:paraId="36BF47EB">
            <w:pPr>
              <w:tabs>
                <w:tab w:val="left" w:pos="6300"/>
              </w:tabs>
              <w:snapToGrid w:val="0"/>
              <w:spacing w:line="500" w:lineRule="exact"/>
              <w:jc w:val="center"/>
              <w:outlineLvl w:val="0"/>
              <w:rPr>
                <w:rFonts w:eastAsia="方正仿宋_GBK"/>
                <w:sz w:val="21"/>
                <w:szCs w:val="21"/>
              </w:rPr>
            </w:pPr>
          </w:p>
        </w:tc>
        <w:tc>
          <w:tcPr>
            <w:tcW w:w="1600" w:type="pct"/>
            <w:vAlign w:val="center"/>
          </w:tcPr>
          <w:p w14:paraId="6336C1E9">
            <w:pPr>
              <w:tabs>
                <w:tab w:val="left" w:pos="6300"/>
              </w:tabs>
              <w:snapToGrid w:val="0"/>
              <w:spacing w:line="500" w:lineRule="exact"/>
              <w:jc w:val="center"/>
              <w:outlineLvl w:val="0"/>
              <w:rPr>
                <w:rFonts w:eastAsia="方正仿宋_GBK"/>
                <w:sz w:val="21"/>
                <w:szCs w:val="21"/>
              </w:rPr>
            </w:pPr>
          </w:p>
        </w:tc>
        <w:tc>
          <w:tcPr>
            <w:tcW w:w="1199" w:type="pct"/>
            <w:vAlign w:val="center"/>
          </w:tcPr>
          <w:p w14:paraId="46B9E2AF">
            <w:pPr>
              <w:tabs>
                <w:tab w:val="left" w:pos="6300"/>
              </w:tabs>
              <w:snapToGrid w:val="0"/>
              <w:spacing w:line="500" w:lineRule="exact"/>
              <w:jc w:val="center"/>
              <w:outlineLvl w:val="0"/>
              <w:rPr>
                <w:rFonts w:eastAsia="方正仿宋_GBK"/>
                <w:sz w:val="21"/>
                <w:szCs w:val="21"/>
              </w:rPr>
            </w:pPr>
          </w:p>
        </w:tc>
      </w:tr>
      <w:tr w14:paraId="41E6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2529C17C">
            <w:pPr>
              <w:tabs>
                <w:tab w:val="left" w:pos="6300"/>
              </w:tabs>
              <w:snapToGrid w:val="0"/>
              <w:spacing w:line="500" w:lineRule="exact"/>
              <w:jc w:val="center"/>
              <w:outlineLvl w:val="0"/>
              <w:rPr>
                <w:rFonts w:eastAsia="方正仿宋_GBK"/>
                <w:sz w:val="21"/>
                <w:szCs w:val="21"/>
              </w:rPr>
            </w:pPr>
          </w:p>
        </w:tc>
        <w:tc>
          <w:tcPr>
            <w:tcW w:w="1541" w:type="pct"/>
            <w:vAlign w:val="center"/>
          </w:tcPr>
          <w:p w14:paraId="4DF08644">
            <w:pPr>
              <w:tabs>
                <w:tab w:val="left" w:pos="6300"/>
              </w:tabs>
              <w:snapToGrid w:val="0"/>
              <w:spacing w:line="500" w:lineRule="exact"/>
              <w:jc w:val="center"/>
              <w:outlineLvl w:val="0"/>
              <w:rPr>
                <w:rFonts w:eastAsia="方正仿宋_GBK"/>
                <w:sz w:val="21"/>
                <w:szCs w:val="21"/>
              </w:rPr>
            </w:pPr>
          </w:p>
        </w:tc>
        <w:tc>
          <w:tcPr>
            <w:tcW w:w="1600" w:type="pct"/>
            <w:vAlign w:val="center"/>
          </w:tcPr>
          <w:p w14:paraId="1F5BBED7">
            <w:pPr>
              <w:tabs>
                <w:tab w:val="left" w:pos="6300"/>
              </w:tabs>
              <w:snapToGrid w:val="0"/>
              <w:spacing w:line="500" w:lineRule="exact"/>
              <w:jc w:val="center"/>
              <w:outlineLvl w:val="0"/>
              <w:rPr>
                <w:rFonts w:eastAsia="方正仿宋_GBK"/>
                <w:sz w:val="21"/>
                <w:szCs w:val="21"/>
              </w:rPr>
            </w:pPr>
          </w:p>
        </w:tc>
        <w:tc>
          <w:tcPr>
            <w:tcW w:w="1199" w:type="pct"/>
            <w:vAlign w:val="center"/>
          </w:tcPr>
          <w:p w14:paraId="1DB4F34F">
            <w:pPr>
              <w:tabs>
                <w:tab w:val="left" w:pos="6300"/>
              </w:tabs>
              <w:snapToGrid w:val="0"/>
              <w:spacing w:line="500" w:lineRule="exact"/>
              <w:jc w:val="center"/>
              <w:outlineLvl w:val="0"/>
              <w:rPr>
                <w:rFonts w:eastAsia="方正仿宋_GBK"/>
                <w:sz w:val="21"/>
                <w:szCs w:val="21"/>
              </w:rPr>
            </w:pPr>
          </w:p>
        </w:tc>
      </w:tr>
      <w:tr w14:paraId="640D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4EBFBF59">
            <w:pPr>
              <w:tabs>
                <w:tab w:val="left" w:pos="6300"/>
              </w:tabs>
              <w:snapToGrid w:val="0"/>
              <w:spacing w:line="500" w:lineRule="exact"/>
              <w:jc w:val="center"/>
              <w:outlineLvl w:val="0"/>
              <w:rPr>
                <w:rFonts w:eastAsia="方正仿宋_GBK"/>
                <w:sz w:val="21"/>
                <w:szCs w:val="21"/>
              </w:rPr>
            </w:pPr>
          </w:p>
        </w:tc>
        <w:tc>
          <w:tcPr>
            <w:tcW w:w="1541" w:type="pct"/>
            <w:vAlign w:val="center"/>
          </w:tcPr>
          <w:p w14:paraId="2D1C902D">
            <w:pPr>
              <w:tabs>
                <w:tab w:val="left" w:pos="6300"/>
              </w:tabs>
              <w:snapToGrid w:val="0"/>
              <w:spacing w:line="500" w:lineRule="exact"/>
              <w:jc w:val="center"/>
              <w:outlineLvl w:val="0"/>
              <w:rPr>
                <w:rFonts w:eastAsia="方正仿宋_GBK"/>
                <w:sz w:val="21"/>
                <w:szCs w:val="21"/>
              </w:rPr>
            </w:pPr>
          </w:p>
        </w:tc>
        <w:tc>
          <w:tcPr>
            <w:tcW w:w="1600" w:type="pct"/>
            <w:vAlign w:val="center"/>
          </w:tcPr>
          <w:p w14:paraId="3BD3D5D4">
            <w:pPr>
              <w:tabs>
                <w:tab w:val="left" w:pos="6300"/>
              </w:tabs>
              <w:snapToGrid w:val="0"/>
              <w:spacing w:line="500" w:lineRule="exact"/>
              <w:jc w:val="center"/>
              <w:outlineLvl w:val="0"/>
              <w:rPr>
                <w:rFonts w:eastAsia="方正仿宋_GBK"/>
                <w:sz w:val="21"/>
                <w:szCs w:val="21"/>
              </w:rPr>
            </w:pPr>
          </w:p>
        </w:tc>
        <w:tc>
          <w:tcPr>
            <w:tcW w:w="1199" w:type="pct"/>
            <w:vAlign w:val="center"/>
          </w:tcPr>
          <w:p w14:paraId="48BF0ACB">
            <w:pPr>
              <w:tabs>
                <w:tab w:val="left" w:pos="6300"/>
              </w:tabs>
              <w:snapToGrid w:val="0"/>
              <w:spacing w:line="500" w:lineRule="exact"/>
              <w:jc w:val="center"/>
              <w:outlineLvl w:val="0"/>
              <w:rPr>
                <w:rFonts w:eastAsia="方正仿宋_GBK"/>
                <w:sz w:val="21"/>
                <w:szCs w:val="21"/>
              </w:rPr>
            </w:pPr>
          </w:p>
        </w:tc>
      </w:tr>
    </w:tbl>
    <w:p w14:paraId="063D82DD">
      <w:pPr>
        <w:spacing w:line="500" w:lineRule="exact"/>
        <w:ind w:firstLine="600" w:firstLineChars="250"/>
        <w:rPr>
          <w:rFonts w:eastAsia="方正仿宋_GBK"/>
          <w:sz w:val="24"/>
          <w:szCs w:val="28"/>
        </w:rPr>
      </w:pPr>
      <w:r>
        <w:rPr>
          <w:rFonts w:eastAsia="方正仿宋_GBK"/>
          <w:sz w:val="24"/>
          <w:szCs w:val="28"/>
        </w:rPr>
        <w:t xml:space="preserve">供应商：                            </w:t>
      </w:r>
      <w:r>
        <w:rPr>
          <w:rFonts w:eastAsia="方正仿宋_GBK"/>
          <w:sz w:val="24"/>
          <w:szCs w:val="24"/>
        </w:rPr>
        <w:t>法定代表人（或其授权代表）或自然人：</w:t>
      </w:r>
    </w:p>
    <w:p w14:paraId="00D2107C">
      <w:pPr>
        <w:spacing w:line="500" w:lineRule="exact"/>
        <w:rPr>
          <w:rFonts w:eastAsia="方正仿宋_GBK"/>
          <w:sz w:val="24"/>
          <w:szCs w:val="28"/>
        </w:rPr>
      </w:pPr>
      <w:r>
        <w:rPr>
          <w:rFonts w:eastAsia="方正仿宋_GBK"/>
          <w:sz w:val="24"/>
          <w:szCs w:val="28"/>
        </w:rPr>
        <w:t xml:space="preserve">    </w:t>
      </w:r>
    </w:p>
    <w:p w14:paraId="15CF215E">
      <w:pPr>
        <w:spacing w:line="500" w:lineRule="exact"/>
        <w:ind w:firstLine="720" w:firstLineChars="300"/>
        <w:rPr>
          <w:rFonts w:eastAsia="方正仿宋_GBK"/>
          <w:sz w:val="24"/>
          <w:szCs w:val="28"/>
        </w:rPr>
      </w:pPr>
      <w:r>
        <w:rPr>
          <w:rFonts w:eastAsia="方正仿宋_GBK"/>
          <w:sz w:val="24"/>
          <w:szCs w:val="28"/>
        </w:rPr>
        <w:t>（供应商公章）                               （签署或盖章）</w:t>
      </w:r>
    </w:p>
    <w:p w14:paraId="463FCF18">
      <w:pPr>
        <w:tabs>
          <w:tab w:val="left" w:pos="6300"/>
        </w:tabs>
        <w:snapToGrid w:val="0"/>
        <w:spacing w:line="500" w:lineRule="exact"/>
        <w:ind w:firstLine="570"/>
        <w:rPr>
          <w:rFonts w:eastAsia="方正仿宋_GBK"/>
          <w:sz w:val="24"/>
        </w:rPr>
      </w:pPr>
      <w:r>
        <w:rPr>
          <w:rFonts w:eastAsia="方正仿宋_GBK"/>
          <w:sz w:val="24"/>
          <w:szCs w:val="28"/>
        </w:rPr>
        <w:t xml:space="preserve">                                              年     月     日</w:t>
      </w:r>
    </w:p>
    <w:p w14:paraId="18F896B0">
      <w:pPr>
        <w:tabs>
          <w:tab w:val="left" w:pos="6300"/>
        </w:tabs>
        <w:snapToGrid w:val="0"/>
        <w:spacing w:line="500" w:lineRule="exact"/>
        <w:ind w:firstLine="480" w:firstLineChars="200"/>
        <w:rPr>
          <w:rFonts w:eastAsia="方正仿宋_GBK"/>
          <w:sz w:val="24"/>
        </w:rPr>
      </w:pPr>
      <w:r>
        <w:rPr>
          <w:rFonts w:eastAsia="方正仿宋_GBK"/>
          <w:sz w:val="24"/>
        </w:rPr>
        <w:t>注：</w:t>
      </w:r>
    </w:p>
    <w:p w14:paraId="13B99A55">
      <w:pPr>
        <w:tabs>
          <w:tab w:val="left" w:pos="6300"/>
        </w:tabs>
        <w:snapToGrid w:val="0"/>
        <w:spacing w:line="500" w:lineRule="exact"/>
        <w:ind w:firstLine="480" w:firstLineChars="200"/>
        <w:rPr>
          <w:rFonts w:eastAsia="方正仿宋_GBK"/>
          <w:sz w:val="24"/>
        </w:rPr>
      </w:pPr>
      <w:r>
        <w:rPr>
          <w:rFonts w:eastAsia="方正仿宋_GBK"/>
          <w:sz w:val="24"/>
          <w:szCs w:val="24"/>
        </w:rPr>
        <w:t>1</w:t>
      </w:r>
      <w:r>
        <w:rPr>
          <w:rFonts w:eastAsia="方正仿宋_GBK"/>
          <w:sz w:val="24"/>
        </w:rPr>
        <w:t>.</w:t>
      </w:r>
      <w:r>
        <w:rPr>
          <w:rFonts w:eastAsia="方正仿宋_GBK"/>
          <w:sz w:val="24"/>
          <w:szCs w:val="24"/>
        </w:rPr>
        <w:t>本表即为对本项目“第二篇</w:t>
      </w:r>
      <w:r>
        <w:rPr>
          <w:rFonts w:hint="eastAsia" w:eastAsia="方正仿宋_GBK"/>
          <w:sz w:val="24"/>
          <w:szCs w:val="24"/>
        </w:rPr>
        <w:t xml:space="preserve"> 项目技术、服务需求</w:t>
      </w:r>
      <w:r>
        <w:rPr>
          <w:rFonts w:eastAsia="方正仿宋_GBK"/>
          <w:sz w:val="24"/>
          <w:szCs w:val="24"/>
        </w:rPr>
        <w:t>”中所列条款进行比较和响应；</w:t>
      </w:r>
    </w:p>
    <w:p w14:paraId="526271CA">
      <w:pPr>
        <w:snapToGrid w:val="0"/>
        <w:spacing w:line="400" w:lineRule="exact"/>
        <w:ind w:firstLine="480" w:firstLineChars="200"/>
        <w:jc w:val="left"/>
        <w:rPr>
          <w:rFonts w:eastAsia="方正仿宋_GBK"/>
          <w:sz w:val="24"/>
        </w:rPr>
      </w:pPr>
      <w:r>
        <w:rPr>
          <w:rFonts w:eastAsia="方正仿宋_GBK"/>
          <w:sz w:val="24"/>
        </w:rPr>
        <w:t>2.本表可扩展。</w:t>
      </w:r>
    </w:p>
    <w:p w14:paraId="25B43417">
      <w:pPr>
        <w:pStyle w:val="77"/>
        <w:rPr>
          <w:rFonts w:ascii="Times New Roman" w:hAnsi="Times New Roman" w:cs="Times New Roman"/>
        </w:rPr>
      </w:pPr>
      <w:r>
        <w:rPr>
          <w:rFonts w:ascii="Times New Roman" w:hAnsi="Times New Roman" w:cs="Times New Roman"/>
        </w:rPr>
        <w:t>3.可附相关技术支撑材料。（格式自定）</w:t>
      </w:r>
    </w:p>
    <w:p w14:paraId="0D3F2ACE">
      <w:pPr>
        <w:tabs>
          <w:tab w:val="left" w:pos="6300"/>
        </w:tabs>
        <w:snapToGrid w:val="0"/>
        <w:spacing w:line="400" w:lineRule="exact"/>
        <w:ind w:firstLine="560" w:firstLineChars="200"/>
        <w:rPr>
          <w:rFonts w:eastAsia="方正仿宋_GBK"/>
          <w:szCs w:val="24"/>
        </w:rPr>
      </w:pPr>
      <w:r>
        <w:rPr>
          <w:rFonts w:eastAsia="方正仿宋_GBK"/>
          <w:szCs w:val="24"/>
        </w:rPr>
        <w:br w:type="page"/>
      </w:r>
      <w:r>
        <w:rPr>
          <w:rFonts w:eastAsia="方正仿宋_GBK"/>
          <w:sz w:val="24"/>
          <w:szCs w:val="24"/>
        </w:rPr>
        <w:t>（二）其他资料（格式自定）</w:t>
      </w:r>
    </w:p>
    <w:p w14:paraId="4B59C926">
      <w:pPr>
        <w:pStyle w:val="3"/>
        <w:adjustRightInd w:val="0"/>
        <w:snapToGrid w:val="0"/>
        <w:spacing w:before="0" w:after="0" w:line="400" w:lineRule="exact"/>
        <w:ind w:firstLine="640" w:firstLineChars="200"/>
        <w:rPr>
          <w:rFonts w:ascii="Times New Roman" w:hAnsi="Times New Roman" w:eastAsia="方正仿宋_GBK"/>
          <w:sz w:val="24"/>
        </w:rPr>
      </w:pPr>
      <w:r>
        <w:rPr>
          <w:rFonts w:ascii="Times New Roman" w:hAnsi="Times New Roman" w:eastAsia="方正仿宋_GBK"/>
          <w:b w:val="0"/>
        </w:rPr>
        <w:br w:type="page"/>
      </w:r>
      <w:bookmarkStart w:id="97" w:name="_Toc313008358"/>
      <w:bookmarkStart w:id="98" w:name="_Toc313888362"/>
      <w:bookmarkStart w:id="99" w:name="_Toc106030908"/>
      <w:bookmarkStart w:id="100" w:name="_Toc76462352"/>
      <w:bookmarkStart w:id="101" w:name="_Toc342913421"/>
      <w:r>
        <w:rPr>
          <w:rFonts w:ascii="Times New Roman" w:hAnsi="Times New Roman" w:eastAsia="方正仿宋_GBK"/>
          <w:sz w:val="24"/>
        </w:rPr>
        <w:t>三、商务部分</w:t>
      </w:r>
      <w:bookmarkEnd w:id="97"/>
      <w:bookmarkEnd w:id="98"/>
      <w:bookmarkEnd w:id="99"/>
      <w:bookmarkEnd w:id="100"/>
      <w:bookmarkEnd w:id="101"/>
    </w:p>
    <w:p w14:paraId="4E868601">
      <w:pPr>
        <w:snapToGrid w:val="0"/>
        <w:spacing w:line="400" w:lineRule="exact"/>
        <w:ind w:firstLine="480" w:firstLineChars="200"/>
        <w:rPr>
          <w:rFonts w:eastAsia="方正仿宋_GBK"/>
          <w:sz w:val="24"/>
          <w:szCs w:val="24"/>
        </w:rPr>
      </w:pPr>
      <w:r>
        <w:rPr>
          <w:rFonts w:eastAsia="方正仿宋_GBK"/>
          <w:sz w:val="24"/>
          <w:szCs w:val="24"/>
        </w:rPr>
        <w:t>（一）商务响应偏离表</w:t>
      </w:r>
    </w:p>
    <w:p w14:paraId="19CFADFB">
      <w:pPr>
        <w:spacing w:line="400" w:lineRule="exact"/>
        <w:ind w:firstLine="480" w:firstLineChars="200"/>
        <w:rPr>
          <w:rFonts w:eastAsia="方正仿宋_GBK"/>
          <w:sz w:val="24"/>
          <w:szCs w:val="24"/>
        </w:rPr>
      </w:pPr>
      <w:r>
        <w:rPr>
          <w:rFonts w:eastAsia="方正仿宋_GBK"/>
          <w:sz w:val="24"/>
          <w:szCs w:val="24"/>
        </w:rPr>
        <w:t xml:space="preserve">项目号：                                </w:t>
      </w:r>
    </w:p>
    <w:p w14:paraId="4F5232F3">
      <w:pPr>
        <w:snapToGrid w:val="0"/>
        <w:spacing w:line="400" w:lineRule="exact"/>
        <w:ind w:firstLine="480" w:firstLineChars="200"/>
        <w:rPr>
          <w:rFonts w:eastAsia="方正仿宋_GBK"/>
          <w:sz w:val="24"/>
          <w:szCs w:val="24"/>
        </w:rPr>
      </w:pPr>
      <w:r>
        <w:rPr>
          <w:rFonts w:eastAsia="方正仿宋_GBK"/>
          <w:sz w:val="24"/>
          <w:szCs w:val="24"/>
        </w:rPr>
        <w:t xml:space="preserve">项目名称： </w:t>
      </w:r>
    </w:p>
    <w:tbl>
      <w:tblPr>
        <w:tblStyle w:val="5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6E6B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vAlign w:val="center"/>
          </w:tcPr>
          <w:p w14:paraId="1F797A08">
            <w:pPr>
              <w:snapToGrid w:val="0"/>
              <w:spacing w:line="360" w:lineRule="auto"/>
              <w:ind w:firstLine="465"/>
              <w:rPr>
                <w:rFonts w:eastAsia="方正仿宋_GBK"/>
                <w:sz w:val="21"/>
                <w:szCs w:val="24"/>
              </w:rPr>
            </w:pPr>
            <w:r>
              <w:rPr>
                <w:rFonts w:eastAsia="方正仿宋_GBK"/>
                <w:sz w:val="21"/>
                <w:szCs w:val="24"/>
              </w:rPr>
              <w:t>序号</w:t>
            </w:r>
          </w:p>
        </w:tc>
        <w:tc>
          <w:tcPr>
            <w:tcW w:w="3179" w:type="dxa"/>
            <w:vAlign w:val="center"/>
          </w:tcPr>
          <w:p w14:paraId="124B5203">
            <w:pPr>
              <w:tabs>
                <w:tab w:val="left" w:pos="6300"/>
              </w:tabs>
              <w:snapToGrid w:val="0"/>
              <w:spacing w:line="360" w:lineRule="auto"/>
              <w:jc w:val="center"/>
              <w:outlineLvl w:val="0"/>
              <w:rPr>
                <w:rFonts w:eastAsia="方正仿宋_GBK"/>
                <w:sz w:val="21"/>
                <w:szCs w:val="24"/>
              </w:rPr>
            </w:pPr>
            <w:r>
              <w:rPr>
                <w:rFonts w:eastAsia="方正仿宋_GBK"/>
                <w:sz w:val="21"/>
                <w:szCs w:val="24"/>
              </w:rPr>
              <w:t>比选项目商务需求</w:t>
            </w:r>
          </w:p>
        </w:tc>
        <w:tc>
          <w:tcPr>
            <w:tcW w:w="2434" w:type="dxa"/>
            <w:vAlign w:val="center"/>
          </w:tcPr>
          <w:p w14:paraId="6E95ED0B">
            <w:pPr>
              <w:tabs>
                <w:tab w:val="left" w:pos="6300"/>
              </w:tabs>
              <w:snapToGrid w:val="0"/>
              <w:spacing w:line="360" w:lineRule="auto"/>
              <w:jc w:val="center"/>
              <w:outlineLvl w:val="0"/>
              <w:rPr>
                <w:rFonts w:eastAsia="方正仿宋_GBK"/>
                <w:sz w:val="21"/>
                <w:szCs w:val="24"/>
              </w:rPr>
            </w:pPr>
            <w:r>
              <w:rPr>
                <w:rFonts w:eastAsia="方正仿宋_GBK"/>
                <w:sz w:val="21"/>
                <w:szCs w:val="24"/>
              </w:rPr>
              <w:t>响应情况</w:t>
            </w:r>
          </w:p>
        </w:tc>
        <w:tc>
          <w:tcPr>
            <w:tcW w:w="2355" w:type="dxa"/>
            <w:vAlign w:val="center"/>
          </w:tcPr>
          <w:p w14:paraId="08B3A26E">
            <w:pPr>
              <w:tabs>
                <w:tab w:val="left" w:pos="6300"/>
              </w:tabs>
              <w:snapToGrid w:val="0"/>
              <w:spacing w:line="360" w:lineRule="auto"/>
              <w:jc w:val="center"/>
              <w:outlineLvl w:val="0"/>
              <w:rPr>
                <w:rFonts w:eastAsia="方正仿宋_GBK"/>
                <w:sz w:val="21"/>
                <w:szCs w:val="24"/>
              </w:rPr>
            </w:pPr>
            <w:r>
              <w:rPr>
                <w:rFonts w:eastAsia="方正仿宋_GBK"/>
                <w:sz w:val="21"/>
                <w:szCs w:val="24"/>
              </w:rPr>
              <w:t>偏离说明</w:t>
            </w:r>
          </w:p>
        </w:tc>
      </w:tr>
      <w:tr w14:paraId="3A17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B8F5CC6">
            <w:pPr>
              <w:tabs>
                <w:tab w:val="left" w:pos="6300"/>
              </w:tabs>
              <w:snapToGrid w:val="0"/>
              <w:spacing w:line="360" w:lineRule="auto"/>
              <w:jc w:val="center"/>
              <w:outlineLvl w:val="0"/>
              <w:rPr>
                <w:rFonts w:eastAsia="方正仿宋_GBK"/>
                <w:sz w:val="21"/>
                <w:szCs w:val="24"/>
              </w:rPr>
            </w:pPr>
          </w:p>
        </w:tc>
        <w:tc>
          <w:tcPr>
            <w:tcW w:w="3179" w:type="dxa"/>
            <w:vAlign w:val="center"/>
          </w:tcPr>
          <w:p w14:paraId="65E6EBC6">
            <w:pPr>
              <w:tabs>
                <w:tab w:val="left" w:pos="6300"/>
              </w:tabs>
              <w:snapToGrid w:val="0"/>
              <w:spacing w:line="360" w:lineRule="auto"/>
              <w:jc w:val="center"/>
              <w:outlineLvl w:val="0"/>
              <w:rPr>
                <w:rFonts w:eastAsia="方正仿宋_GBK"/>
                <w:sz w:val="21"/>
                <w:szCs w:val="24"/>
              </w:rPr>
            </w:pPr>
          </w:p>
        </w:tc>
        <w:tc>
          <w:tcPr>
            <w:tcW w:w="2434" w:type="dxa"/>
            <w:vAlign w:val="center"/>
          </w:tcPr>
          <w:p w14:paraId="66EFEE95">
            <w:pPr>
              <w:tabs>
                <w:tab w:val="left" w:pos="6300"/>
              </w:tabs>
              <w:snapToGrid w:val="0"/>
              <w:spacing w:line="360" w:lineRule="auto"/>
              <w:outlineLvl w:val="0"/>
              <w:rPr>
                <w:rFonts w:eastAsia="方正仿宋_GBK"/>
                <w:sz w:val="21"/>
                <w:szCs w:val="24"/>
              </w:rPr>
            </w:pPr>
            <w:r>
              <w:rPr>
                <w:rFonts w:eastAsia="方正仿宋_GBK"/>
                <w:sz w:val="21"/>
                <w:szCs w:val="21"/>
              </w:rPr>
              <w:t>提醒：请注明具体内容以及响应文件中具体内容的位置（页码）</w:t>
            </w:r>
          </w:p>
        </w:tc>
        <w:tc>
          <w:tcPr>
            <w:tcW w:w="2355" w:type="dxa"/>
            <w:vAlign w:val="center"/>
          </w:tcPr>
          <w:p w14:paraId="1DA0BA4D">
            <w:pPr>
              <w:tabs>
                <w:tab w:val="left" w:pos="6300"/>
              </w:tabs>
              <w:snapToGrid w:val="0"/>
              <w:spacing w:line="360" w:lineRule="auto"/>
              <w:jc w:val="center"/>
              <w:outlineLvl w:val="0"/>
              <w:rPr>
                <w:rFonts w:eastAsia="方正仿宋_GBK"/>
                <w:sz w:val="21"/>
                <w:szCs w:val="24"/>
              </w:rPr>
            </w:pPr>
          </w:p>
        </w:tc>
      </w:tr>
      <w:tr w14:paraId="2BBC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3E02A603">
            <w:pPr>
              <w:tabs>
                <w:tab w:val="left" w:pos="6300"/>
              </w:tabs>
              <w:snapToGrid w:val="0"/>
              <w:spacing w:line="360" w:lineRule="auto"/>
              <w:jc w:val="center"/>
              <w:outlineLvl w:val="0"/>
              <w:rPr>
                <w:rFonts w:eastAsia="方正仿宋_GBK"/>
                <w:sz w:val="21"/>
                <w:szCs w:val="24"/>
              </w:rPr>
            </w:pPr>
          </w:p>
        </w:tc>
        <w:tc>
          <w:tcPr>
            <w:tcW w:w="3179" w:type="dxa"/>
            <w:vAlign w:val="center"/>
          </w:tcPr>
          <w:p w14:paraId="06A78BDF">
            <w:pPr>
              <w:tabs>
                <w:tab w:val="left" w:pos="6300"/>
              </w:tabs>
              <w:snapToGrid w:val="0"/>
              <w:spacing w:line="360" w:lineRule="auto"/>
              <w:jc w:val="center"/>
              <w:outlineLvl w:val="0"/>
              <w:rPr>
                <w:rFonts w:eastAsia="方正仿宋_GBK"/>
                <w:sz w:val="21"/>
                <w:szCs w:val="24"/>
              </w:rPr>
            </w:pPr>
          </w:p>
        </w:tc>
        <w:tc>
          <w:tcPr>
            <w:tcW w:w="2434" w:type="dxa"/>
            <w:vAlign w:val="center"/>
          </w:tcPr>
          <w:p w14:paraId="64ADA820">
            <w:pPr>
              <w:tabs>
                <w:tab w:val="left" w:pos="6300"/>
              </w:tabs>
              <w:snapToGrid w:val="0"/>
              <w:spacing w:line="360" w:lineRule="auto"/>
              <w:jc w:val="center"/>
              <w:outlineLvl w:val="0"/>
              <w:rPr>
                <w:rFonts w:eastAsia="方正仿宋_GBK"/>
                <w:sz w:val="21"/>
                <w:szCs w:val="24"/>
              </w:rPr>
            </w:pPr>
          </w:p>
        </w:tc>
        <w:tc>
          <w:tcPr>
            <w:tcW w:w="2355" w:type="dxa"/>
            <w:vAlign w:val="center"/>
          </w:tcPr>
          <w:p w14:paraId="7517C3B7">
            <w:pPr>
              <w:tabs>
                <w:tab w:val="left" w:pos="6300"/>
              </w:tabs>
              <w:snapToGrid w:val="0"/>
              <w:spacing w:line="360" w:lineRule="auto"/>
              <w:jc w:val="center"/>
              <w:outlineLvl w:val="0"/>
              <w:rPr>
                <w:rFonts w:eastAsia="方正仿宋_GBK"/>
                <w:sz w:val="21"/>
                <w:szCs w:val="24"/>
              </w:rPr>
            </w:pPr>
          </w:p>
        </w:tc>
      </w:tr>
      <w:tr w14:paraId="792A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6EF673E8">
            <w:pPr>
              <w:tabs>
                <w:tab w:val="left" w:pos="6300"/>
              </w:tabs>
              <w:snapToGrid w:val="0"/>
              <w:spacing w:line="360" w:lineRule="auto"/>
              <w:jc w:val="center"/>
              <w:outlineLvl w:val="0"/>
              <w:rPr>
                <w:rFonts w:eastAsia="方正仿宋_GBK"/>
                <w:sz w:val="21"/>
                <w:szCs w:val="24"/>
              </w:rPr>
            </w:pPr>
          </w:p>
        </w:tc>
        <w:tc>
          <w:tcPr>
            <w:tcW w:w="3179" w:type="dxa"/>
            <w:vAlign w:val="center"/>
          </w:tcPr>
          <w:p w14:paraId="7FC98303">
            <w:pPr>
              <w:tabs>
                <w:tab w:val="left" w:pos="6300"/>
              </w:tabs>
              <w:snapToGrid w:val="0"/>
              <w:spacing w:line="360" w:lineRule="auto"/>
              <w:jc w:val="center"/>
              <w:outlineLvl w:val="0"/>
              <w:rPr>
                <w:rFonts w:eastAsia="方正仿宋_GBK"/>
                <w:sz w:val="21"/>
                <w:szCs w:val="24"/>
              </w:rPr>
            </w:pPr>
          </w:p>
        </w:tc>
        <w:tc>
          <w:tcPr>
            <w:tcW w:w="2434" w:type="dxa"/>
            <w:vAlign w:val="center"/>
          </w:tcPr>
          <w:p w14:paraId="70B4147B">
            <w:pPr>
              <w:tabs>
                <w:tab w:val="left" w:pos="6300"/>
              </w:tabs>
              <w:snapToGrid w:val="0"/>
              <w:spacing w:line="360" w:lineRule="auto"/>
              <w:jc w:val="center"/>
              <w:outlineLvl w:val="0"/>
              <w:rPr>
                <w:rFonts w:eastAsia="方正仿宋_GBK"/>
                <w:sz w:val="21"/>
                <w:szCs w:val="24"/>
              </w:rPr>
            </w:pPr>
          </w:p>
        </w:tc>
        <w:tc>
          <w:tcPr>
            <w:tcW w:w="2355" w:type="dxa"/>
            <w:vAlign w:val="center"/>
          </w:tcPr>
          <w:p w14:paraId="47829F68">
            <w:pPr>
              <w:tabs>
                <w:tab w:val="left" w:pos="6300"/>
              </w:tabs>
              <w:snapToGrid w:val="0"/>
              <w:spacing w:line="360" w:lineRule="auto"/>
              <w:jc w:val="center"/>
              <w:outlineLvl w:val="0"/>
              <w:rPr>
                <w:rFonts w:eastAsia="方正仿宋_GBK"/>
                <w:sz w:val="21"/>
                <w:szCs w:val="24"/>
              </w:rPr>
            </w:pPr>
          </w:p>
        </w:tc>
      </w:tr>
      <w:tr w14:paraId="7AC9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6060EC67">
            <w:pPr>
              <w:tabs>
                <w:tab w:val="left" w:pos="6300"/>
              </w:tabs>
              <w:snapToGrid w:val="0"/>
              <w:spacing w:line="360" w:lineRule="auto"/>
              <w:jc w:val="center"/>
              <w:outlineLvl w:val="0"/>
              <w:rPr>
                <w:rFonts w:eastAsia="方正仿宋_GBK"/>
                <w:sz w:val="21"/>
                <w:szCs w:val="24"/>
              </w:rPr>
            </w:pPr>
          </w:p>
        </w:tc>
        <w:tc>
          <w:tcPr>
            <w:tcW w:w="3179" w:type="dxa"/>
            <w:vAlign w:val="center"/>
          </w:tcPr>
          <w:p w14:paraId="015A075C">
            <w:pPr>
              <w:tabs>
                <w:tab w:val="left" w:pos="6300"/>
              </w:tabs>
              <w:snapToGrid w:val="0"/>
              <w:spacing w:line="360" w:lineRule="auto"/>
              <w:jc w:val="center"/>
              <w:outlineLvl w:val="0"/>
              <w:rPr>
                <w:rFonts w:eastAsia="方正仿宋_GBK"/>
                <w:sz w:val="21"/>
                <w:szCs w:val="24"/>
              </w:rPr>
            </w:pPr>
          </w:p>
        </w:tc>
        <w:tc>
          <w:tcPr>
            <w:tcW w:w="2434" w:type="dxa"/>
            <w:vAlign w:val="center"/>
          </w:tcPr>
          <w:p w14:paraId="75D90306">
            <w:pPr>
              <w:tabs>
                <w:tab w:val="left" w:pos="6300"/>
              </w:tabs>
              <w:snapToGrid w:val="0"/>
              <w:spacing w:line="360" w:lineRule="auto"/>
              <w:jc w:val="center"/>
              <w:outlineLvl w:val="0"/>
              <w:rPr>
                <w:rFonts w:eastAsia="方正仿宋_GBK"/>
                <w:sz w:val="21"/>
                <w:szCs w:val="24"/>
              </w:rPr>
            </w:pPr>
          </w:p>
        </w:tc>
        <w:tc>
          <w:tcPr>
            <w:tcW w:w="2355" w:type="dxa"/>
            <w:vAlign w:val="center"/>
          </w:tcPr>
          <w:p w14:paraId="2155FCA3">
            <w:pPr>
              <w:tabs>
                <w:tab w:val="left" w:pos="6300"/>
              </w:tabs>
              <w:snapToGrid w:val="0"/>
              <w:spacing w:line="360" w:lineRule="auto"/>
              <w:jc w:val="center"/>
              <w:outlineLvl w:val="0"/>
              <w:rPr>
                <w:rFonts w:eastAsia="方正仿宋_GBK"/>
                <w:sz w:val="21"/>
                <w:szCs w:val="24"/>
              </w:rPr>
            </w:pPr>
          </w:p>
        </w:tc>
      </w:tr>
      <w:tr w14:paraId="14B6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78541DE">
            <w:pPr>
              <w:tabs>
                <w:tab w:val="left" w:pos="6300"/>
              </w:tabs>
              <w:snapToGrid w:val="0"/>
              <w:spacing w:line="360" w:lineRule="auto"/>
              <w:jc w:val="center"/>
              <w:outlineLvl w:val="0"/>
              <w:rPr>
                <w:rFonts w:eastAsia="方正仿宋_GBK"/>
                <w:sz w:val="21"/>
                <w:szCs w:val="24"/>
              </w:rPr>
            </w:pPr>
          </w:p>
        </w:tc>
        <w:tc>
          <w:tcPr>
            <w:tcW w:w="3179" w:type="dxa"/>
            <w:vAlign w:val="center"/>
          </w:tcPr>
          <w:p w14:paraId="3E3CB9B1">
            <w:pPr>
              <w:tabs>
                <w:tab w:val="left" w:pos="6300"/>
              </w:tabs>
              <w:snapToGrid w:val="0"/>
              <w:spacing w:line="360" w:lineRule="auto"/>
              <w:jc w:val="center"/>
              <w:outlineLvl w:val="0"/>
              <w:rPr>
                <w:rFonts w:eastAsia="方正仿宋_GBK"/>
                <w:sz w:val="21"/>
                <w:szCs w:val="24"/>
              </w:rPr>
            </w:pPr>
          </w:p>
        </w:tc>
        <w:tc>
          <w:tcPr>
            <w:tcW w:w="2434" w:type="dxa"/>
            <w:vAlign w:val="center"/>
          </w:tcPr>
          <w:p w14:paraId="3AAC7F30">
            <w:pPr>
              <w:tabs>
                <w:tab w:val="left" w:pos="6300"/>
              </w:tabs>
              <w:snapToGrid w:val="0"/>
              <w:spacing w:line="360" w:lineRule="auto"/>
              <w:jc w:val="center"/>
              <w:outlineLvl w:val="0"/>
              <w:rPr>
                <w:rFonts w:eastAsia="方正仿宋_GBK"/>
                <w:sz w:val="21"/>
                <w:szCs w:val="24"/>
              </w:rPr>
            </w:pPr>
          </w:p>
        </w:tc>
        <w:tc>
          <w:tcPr>
            <w:tcW w:w="2355" w:type="dxa"/>
            <w:vAlign w:val="center"/>
          </w:tcPr>
          <w:p w14:paraId="06981DA5">
            <w:pPr>
              <w:tabs>
                <w:tab w:val="left" w:pos="6300"/>
              </w:tabs>
              <w:snapToGrid w:val="0"/>
              <w:spacing w:line="360" w:lineRule="auto"/>
              <w:jc w:val="center"/>
              <w:outlineLvl w:val="0"/>
              <w:rPr>
                <w:rFonts w:eastAsia="方正仿宋_GBK"/>
                <w:sz w:val="21"/>
                <w:szCs w:val="24"/>
              </w:rPr>
            </w:pPr>
          </w:p>
        </w:tc>
      </w:tr>
      <w:tr w14:paraId="5930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66479E5">
            <w:pPr>
              <w:tabs>
                <w:tab w:val="left" w:pos="6300"/>
              </w:tabs>
              <w:snapToGrid w:val="0"/>
              <w:spacing w:line="360" w:lineRule="auto"/>
              <w:jc w:val="center"/>
              <w:outlineLvl w:val="0"/>
              <w:rPr>
                <w:rFonts w:eastAsia="方正仿宋_GBK"/>
                <w:sz w:val="21"/>
                <w:szCs w:val="24"/>
              </w:rPr>
            </w:pPr>
          </w:p>
        </w:tc>
        <w:tc>
          <w:tcPr>
            <w:tcW w:w="3179" w:type="dxa"/>
            <w:vAlign w:val="center"/>
          </w:tcPr>
          <w:p w14:paraId="77A50DF8">
            <w:pPr>
              <w:tabs>
                <w:tab w:val="left" w:pos="6300"/>
              </w:tabs>
              <w:snapToGrid w:val="0"/>
              <w:spacing w:line="360" w:lineRule="auto"/>
              <w:jc w:val="center"/>
              <w:outlineLvl w:val="0"/>
              <w:rPr>
                <w:rFonts w:eastAsia="方正仿宋_GBK"/>
                <w:sz w:val="21"/>
                <w:szCs w:val="24"/>
              </w:rPr>
            </w:pPr>
          </w:p>
        </w:tc>
        <w:tc>
          <w:tcPr>
            <w:tcW w:w="2434" w:type="dxa"/>
            <w:vAlign w:val="center"/>
          </w:tcPr>
          <w:p w14:paraId="1215E3C0">
            <w:pPr>
              <w:tabs>
                <w:tab w:val="left" w:pos="6300"/>
              </w:tabs>
              <w:snapToGrid w:val="0"/>
              <w:spacing w:line="360" w:lineRule="auto"/>
              <w:jc w:val="center"/>
              <w:outlineLvl w:val="0"/>
              <w:rPr>
                <w:rFonts w:eastAsia="方正仿宋_GBK"/>
                <w:sz w:val="21"/>
                <w:szCs w:val="24"/>
              </w:rPr>
            </w:pPr>
          </w:p>
        </w:tc>
        <w:tc>
          <w:tcPr>
            <w:tcW w:w="2355" w:type="dxa"/>
            <w:vAlign w:val="center"/>
          </w:tcPr>
          <w:p w14:paraId="6CCEEB94">
            <w:pPr>
              <w:tabs>
                <w:tab w:val="left" w:pos="6300"/>
              </w:tabs>
              <w:snapToGrid w:val="0"/>
              <w:spacing w:line="360" w:lineRule="auto"/>
              <w:jc w:val="center"/>
              <w:outlineLvl w:val="0"/>
              <w:rPr>
                <w:rFonts w:eastAsia="方正仿宋_GBK"/>
                <w:sz w:val="21"/>
                <w:szCs w:val="24"/>
              </w:rPr>
            </w:pPr>
          </w:p>
        </w:tc>
      </w:tr>
    </w:tbl>
    <w:p w14:paraId="33E25731">
      <w:pPr>
        <w:snapToGrid w:val="0"/>
        <w:spacing w:line="360" w:lineRule="auto"/>
        <w:ind w:firstLine="465"/>
        <w:rPr>
          <w:rFonts w:eastAsia="方正仿宋_GBK"/>
          <w:sz w:val="24"/>
          <w:szCs w:val="24"/>
        </w:rPr>
      </w:pPr>
    </w:p>
    <w:p w14:paraId="0D37D02A">
      <w:pPr>
        <w:spacing w:line="500" w:lineRule="exact"/>
        <w:ind w:firstLine="600" w:firstLineChars="250"/>
        <w:rPr>
          <w:rFonts w:eastAsia="方正仿宋_GBK"/>
          <w:sz w:val="24"/>
          <w:szCs w:val="28"/>
        </w:rPr>
      </w:pPr>
      <w:r>
        <w:rPr>
          <w:rFonts w:eastAsia="方正仿宋_GBK"/>
          <w:sz w:val="24"/>
          <w:szCs w:val="28"/>
        </w:rPr>
        <w:t xml:space="preserve">供应商：                          </w:t>
      </w:r>
      <w:r>
        <w:rPr>
          <w:rFonts w:eastAsia="方正仿宋_GBK"/>
          <w:sz w:val="24"/>
          <w:szCs w:val="24"/>
        </w:rPr>
        <w:t>法定代表人（或其授权代表）或自然人：</w:t>
      </w:r>
    </w:p>
    <w:p w14:paraId="31399B2C">
      <w:pPr>
        <w:spacing w:line="500" w:lineRule="exact"/>
        <w:rPr>
          <w:rFonts w:eastAsia="方正仿宋_GBK"/>
          <w:sz w:val="24"/>
          <w:szCs w:val="28"/>
        </w:rPr>
      </w:pPr>
      <w:r>
        <w:rPr>
          <w:rFonts w:eastAsia="方正仿宋_GBK"/>
          <w:sz w:val="24"/>
          <w:szCs w:val="28"/>
        </w:rPr>
        <w:t xml:space="preserve">    </w:t>
      </w:r>
    </w:p>
    <w:p w14:paraId="0A02BE81">
      <w:pPr>
        <w:spacing w:line="500" w:lineRule="exact"/>
        <w:ind w:firstLine="360" w:firstLineChars="150"/>
        <w:rPr>
          <w:rFonts w:eastAsia="方正仿宋_GBK"/>
          <w:sz w:val="24"/>
          <w:szCs w:val="28"/>
        </w:rPr>
      </w:pPr>
      <w:r>
        <w:rPr>
          <w:rFonts w:eastAsia="方正仿宋_GBK"/>
          <w:sz w:val="24"/>
          <w:szCs w:val="28"/>
        </w:rPr>
        <w:t>（供应商公章）                                 （签署或盖章）</w:t>
      </w:r>
    </w:p>
    <w:p w14:paraId="26531456">
      <w:pPr>
        <w:tabs>
          <w:tab w:val="left" w:pos="6300"/>
        </w:tabs>
        <w:snapToGrid w:val="0"/>
        <w:spacing w:line="500" w:lineRule="exact"/>
        <w:ind w:firstLine="570"/>
        <w:rPr>
          <w:rFonts w:eastAsia="方正仿宋_GBK"/>
          <w:sz w:val="24"/>
        </w:rPr>
      </w:pPr>
      <w:r>
        <w:rPr>
          <w:rFonts w:eastAsia="方正仿宋_GBK"/>
          <w:sz w:val="24"/>
          <w:szCs w:val="28"/>
        </w:rPr>
        <w:t xml:space="preserve">                                            年     月     日</w:t>
      </w:r>
    </w:p>
    <w:p w14:paraId="5C3FE6EE">
      <w:pPr>
        <w:tabs>
          <w:tab w:val="left" w:pos="6300"/>
        </w:tabs>
        <w:snapToGrid w:val="0"/>
        <w:spacing w:line="400" w:lineRule="exact"/>
        <w:ind w:firstLine="480" w:firstLineChars="200"/>
        <w:rPr>
          <w:rFonts w:eastAsia="方正仿宋_GBK"/>
          <w:sz w:val="24"/>
        </w:rPr>
      </w:pPr>
      <w:r>
        <w:rPr>
          <w:rFonts w:eastAsia="方正仿宋_GBK"/>
          <w:sz w:val="24"/>
        </w:rPr>
        <w:t>注：</w:t>
      </w:r>
    </w:p>
    <w:p w14:paraId="1A8B2170">
      <w:pPr>
        <w:tabs>
          <w:tab w:val="left" w:pos="6300"/>
        </w:tabs>
        <w:snapToGrid w:val="0"/>
        <w:spacing w:line="400" w:lineRule="exact"/>
        <w:ind w:firstLine="480" w:firstLineChars="200"/>
        <w:rPr>
          <w:rFonts w:eastAsia="方正仿宋_GBK"/>
          <w:sz w:val="24"/>
        </w:rPr>
      </w:pPr>
      <w:r>
        <w:rPr>
          <w:rFonts w:eastAsia="方正仿宋_GBK"/>
          <w:sz w:val="24"/>
          <w:szCs w:val="24"/>
        </w:rPr>
        <w:t>1</w:t>
      </w:r>
      <w:r>
        <w:rPr>
          <w:rFonts w:eastAsia="方正仿宋_GBK"/>
          <w:sz w:val="24"/>
        </w:rPr>
        <w:t>.</w:t>
      </w:r>
      <w:r>
        <w:rPr>
          <w:rFonts w:eastAsia="方正仿宋_GBK"/>
          <w:sz w:val="24"/>
          <w:szCs w:val="24"/>
        </w:rPr>
        <w:t>本表即为对本项目“第三篇  项目商务需求”中所列条款进行比较和响应；</w:t>
      </w:r>
    </w:p>
    <w:p w14:paraId="668E8B85">
      <w:pPr>
        <w:snapToGrid w:val="0"/>
        <w:spacing w:line="400" w:lineRule="exact"/>
        <w:ind w:firstLine="480" w:firstLineChars="200"/>
        <w:rPr>
          <w:rFonts w:eastAsia="方正仿宋_GBK"/>
          <w:b/>
        </w:rPr>
        <w:sectPr>
          <w:pgSz w:w="11907" w:h="16840"/>
          <w:pgMar w:top="1134" w:right="1191" w:bottom="1134" w:left="1304" w:header="851" w:footer="992" w:gutter="0"/>
          <w:cols w:space="720" w:num="1"/>
          <w:docGrid w:linePitch="380" w:charSpace="-5735"/>
        </w:sectPr>
      </w:pPr>
      <w:r>
        <w:rPr>
          <w:rFonts w:eastAsia="方正仿宋_GBK"/>
          <w:sz w:val="24"/>
        </w:rPr>
        <w:t>2.本表可扩展。</w:t>
      </w:r>
    </w:p>
    <w:p w14:paraId="058B5240">
      <w:pPr>
        <w:snapToGrid w:val="0"/>
        <w:spacing w:line="400" w:lineRule="exact"/>
        <w:ind w:firstLine="480" w:firstLineChars="200"/>
        <w:rPr>
          <w:rFonts w:eastAsia="方正仿宋_GBK"/>
          <w:sz w:val="24"/>
          <w:szCs w:val="24"/>
        </w:rPr>
      </w:pPr>
      <w:bookmarkStart w:id="102" w:name="_Toc283382459"/>
      <w:r>
        <w:rPr>
          <w:rFonts w:eastAsia="方正仿宋_GBK"/>
          <w:sz w:val="24"/>
          <w:szCs w:val="24"/>
        </w:rPr>
        <w:t>（二）其它商务资料（格式自定）</w:t>
      </w:r>
    </w:p>
    <w:p w14:paraId="4CDF0810">
      <w:pPr>
        <w:snapToGrid w:val="0"/>
        <w:spacing w:line="400" w:lineRule="exact"/>
        <w:ind w:firstLine="480" w:firstLineChars="200"/>
        <w:rPr>
          <w:rFonts w:eastAsia="方正仿宋_GBK"/>
          <w:sz w:val="24"/>
          <w:szCs w:val="24"/>
        </w:rPr>
      </w:pPr>
    </w:p>
    <w:p w14:paraId="23452B1A">
      <w:pPr>
        <w:pStyle w:val="163"/>
        <w:rPr>
          <w:rFonts w:ascii="Times New Roman" w:hAnsi="Times New Roman"/>
        </w:rPr>
      </w:pPr>
      <w:r>
        <w:rPr>
          <w:rFonts w:ascii="Times New Roman" w:hAnsi="Times New Roman"/>
          <w:szCs w:val="24"/>
        </w:rPr>
        <w:br w:type="page"/>
      </w:r>
      <w:bookmarkEnd w:id="102"/>
      <w:bookmarkStart w:id="103" w:name="_Toc76462353"/>
      <w:bookmarkStart w:id="104" w:name="_Toc313008359"/>
      <w:bookmarkStart w:id="105" w:name="_Toc313888363"/>
      <w:bookmarkStart w:id="106" w:name="_Toc342913422"/>
      <w:bookmarkStart w:id="107" w:name="_Toc106030909"/>
      <w:r>
        <w:rPr>
          <w:rFonts w:ascii="Times New Roman" w:hAnsi="Times New Roman"/>
        </w:rPr>
        <w:t>四、资格条件</w:t>
      </w:r>
      <w:bookmarkEnd w:id="103"/>
      <w:bookmarkEnd w:id="104"/>
      <w:bookmarkEnd w:id="105"/>
      <w:bookmarkEnd w:id="106"/>
      <w:bookmarkEnd w:id="107"/>
    </w:p>
    <w:p w14:paraId="2F933D64">
      <w:pPr>
        <w:tabs>
          <w:tab w:val="left" w:pos="6300"/>
        </w:tabs>
        <w:snapToGrid w:val="0"/>
        <w:spacing w:line="400" w:lineRule="exact"/>
        <w:ind w:firstLine="570"/>
        <w:rPr>
          <w:rFonts w:eastAsia="方正仿宋_GBK"/>
          <w:sz w:val="24"/>
          <w:szCs w:val="24"/>
        </w:rPr>
      </w:pPr>
      <w:r>
        <w:rPr>
          <w:rFonts w:eastAsia="方正仿宋_GBK"/>
          <w:sz w:val="24"/>
          <w:szCs w:val="24"/>
        </w:rPr>
        <w:t>（一）法人营业执照（副本）或事业单位法人证书（副本）或个体工商户营业执照或有效的自然人身份证明或社会团体法人登记证书复印件</w:t>
      </w:r>
    </w:p>
    <w:p w14:paraId="3EA700F7">
      <w:pPr>
        <w:tabs>
          <w:tab w:val="left" w:pos="6300"/>
        </w:tabs>
        <w:snapToGrid w:val="0"/>
        <w:spacing w:line="400" w:lineRule="exact"/>
        <w:ind w:firstLine="570"/>
        <w:rPr>
          <w:rFonts w:eastAsia="方正仿宋_GBK"/>
        </w:rPr>
      </w:pPr>
    </w:p>
    <w:p w14:paraId="27DCE331">
      <w:pPr>
        <w:tabs>
          <w:tab w:val="left" w:pos="6300"/>
        </w:tabs>
        <w:snapToGrid w:val="0"/>
        <w:spacing w:line="500" w:lineRule="exact"/>
        <w:ind w:firstLine="570"/>
        <w:rPr>
          <w:rFonts w:eastAsia="方正仿宋_GBK"/>
        </w:rPr>
      </w:pPr>
    </w:p>
    <w:p w14:paraId="60049203">
      <w:pPr>
        <w:tabs>
          <w:tab w:val="left" w:pos="6300"/>
        </w:tabs>
        <w:snapToGrid w:val="0"/>
        <w:spacing w:line="500" w:lineRule="exact"/>
        <w:ind w:firstLine="570"/>
        <w:rPr>
          <w:rFonts w:eastAsia="方正仿宋_GBK"/>
        </w:rPr>
      </w:pPr>
    </w:p>
    <w:p w14:paraId="2A62544F">
      <w:pPr>
        <w:tabs>
          <w:tab w:val="left" w:pos="6300"/>
        </w:tabs>
        <w:snapToGrid w:val="0"/>
        <w:spacing w:line="500" w:lineRule="exact"/>
        <w:ind w:firstLine="570"/>
        <w:rPr>
          <w:rFonts w:eastAsia="方正仿宋_GBK"/>
        </w:rPr>
      </w:pPr>
    </w:p>
    <w:p w14:paraId="19491EA9">
      <w:pPr>
        <w:tabs>
          <w:tab w:val="left" w:pos="6300"/>
        </w:tabs>
        <w:snapToGrid w:val="0"/>
        <w:spacing w:line="500" w:lineRule="exact"/>
        <w:ind w:firstLine="570"/>
        <w:rPr>
          <w:rFonts w:eastAsia="方正仿宋_GBK"/>
        </w:rPr>
      </w:pPr>
    </w:p>
    <w:p w14:paraId="252A0992">
      <w:pPr>
        <w:snapToGrid w:val="0"/>
        <w:spacing w:line="400" w:lineRule="exact"/>
        <w:ind w:firstLine="560" w:firstLineChars="200"/>
        <w:rPr>
          <w:rFonts w:eastAsia="方正仿宋_GBK"/>
          <w:sz w:val="24"/>
          <w:szCs w:val="24"/>
        </w:rPr>
      </w:pPr>
      <w:r>
        <w:rPr>
          <w:rFonts w:eastAsia="方正仿宋_GBK"/>
        </w:rPr>
        <w:br w:type="page"/>
      </w:r>
      <w:r>
        <w:rPr>
          <w:rFonts w:eastAsia="方正仿宋_GBK"/>
          <w:sz w:val="24"/>
          <w:szCs w:val="24"/>
        </w:rPr>
        <w:t>（二）法定代表人身份证明书（格式）</w:t>
      </w:r>
    </w:p>
    <w:p w14:paraId="58BDE727">
      <w:pPr>
        <w:tabs>
          <w:tab w:val="left" w:pos="6300"/>
        </w:tabs>
        <w:snapToGrid w:val="0"/>
        <w:spacing w:line="500" w:lineRule="exact"/>
        <w:ind w:firstLine="570"/>
        <w:rPr>
          <w:rFonts w:eastAsia="方正仿宋_GBK"/>
          <w:sz w:val="24"/>
        </w:rPr>
      </w:pPr>
    </w:p>
    <w:p w14:paraId="08599717">
      <w:pPr>
        <w:tabs>
          <w:tab w:val="left" w:pos="6300"/>
        </w:tabs>
        <w:snapToGrid w:val="0"/>
        <w:spacing w:line="500" w:lineRule="exact"/>
        <w:ind w:firstLine="570"/>
        <w:rPr>
          <w:rFonts w:eastAsia="方正仿宋_GBK"/>
          <w:sz w:val="24"/>
        </w:rPr>
      </w:pPr>
      <w:r>
        <w:rPr>
          <w:rFonts w:eastAsia="方正仿宋_GBK"/>
          <w:sz w:val="24"/>
        </w:rPr>
        <w:t>项目名称：</w:t>
      </w:r>
      <w:r>
        <w:rPr>
          <w:rFonts w:eastAsia="方正仿宋_GBK"/>
          <w:sz w:val="24"/>
          <w:u w:val="single"/>
        </w:rPr>
        <w:t xml:space="preserve">                                                </w:t>
      </w:r>
    </w:p>
    <w:p w14:paraId="7006119D">
      <w:pPr>
        <w:tabs>
          <w:tab w:val="left" w:pos="6300"/>
        </w:tabs>
        <w:snapToGrid w:val="0"/>
        <w:spacing w:line="500" w:lineRule="exact"/>
        <w:ind w:firstLine="570"/>
        <w:rPr>
          <w:rFonts w:eastAsia="方正仿宋_GBK"/>
          <w:sz w:val="24"/>
        </w:rPr>
      </w:pPr>
    </w:p>
    <w:p w14:paraId="33DEA015">
      <w:pPr>
        <w:tabs>
          <w:tab w:val="left" w:pos="6300"/>
        </w:tabs>
        <w:snapToGrid w:val="0"/>
        <w:spacing w:line="500" w:lineRule="exact"/>
        <w:rPr>
          <w:rFonts w:eastAsia="方正仿宋_GBK"/>
          <w:sz w:val="24"/>
        </w:rPr>
      </w:pPr>
      <w:r>
        <w:rPr>
          <w:rFonts w:eastAsia="方正仿宋_GBK"/>
          <w:sz w:val="24"/>
        </w:rPr>
        <w:t>致：</w:t>
      </w:r>
      <w:r>
        <w:rPr>
          <w:rFonts w:eastAsia="方正仿宋_GBK"/>
          <w:sz w:val="24"/>
          <w:u w:val="single"/>
        </w:rPr>
        <w:t xml:space="preserve">                     </w:t>
      </w:r>
      <w:r>
        <w:rPr>
          <w:rFonts w:eastAsia="方正仿宋_GBK"/>
          <w:sz w:val="24"/>
        </w:rPr>
        <w:t>（采购人名称）：</w:t>
      </w:r>
    </w:p>
    <w:p w14:paraId="7EB01CC4">
      <w:pPr>
        <w:tabs>
          <w:tab w:val="left" w:pos="6300"/>
        </w:tabs>
        <w:snapToGrid w:val="0"/>
        <w:spacing w:line="500" w:lineRule="exact"/>
        <w:ind w:firstLine="570"/>
        <w:rPr>
          <w:rFonts w:eastAsia="方正仿宋_GBK"/>
          <w:sz w:val="24"/>
        </w:rPr>
      </w:pPr>
      <w:r>
        <w:rPr>
          <w:rFonts w:eastAsia="方正仿宋_GBK"/>
          <w:sz w:val="24"/>
          <w:u w:val="single"/>
        </w:rPr>
        <w:t xml:space="preserve">        </w:t>
      </w:r>
      <w:r>
        <w:rPr>
          <w:rFonts w:eastAsia="方正仿宋_GBK"/>
          <w:sz w:val="24"/>
        </w:rPr>
        <w:t>（法定代表人姓名）</w:t>
      </w:r>
      <w:r>
        <w:rPr>
          <w:rFonts w:eastAsia="方正仿宋_GBK"/>
          <w:color w:val="000000"/>
          <w:sz w:val="24"/>
          <w:u w:val="single"/>
        </w:rPr>
        <w:t xml:space="preserve">     </w:t>
      </w:r>
      <w:r>
        <w:rPr>
          <w:rFonts w:eastAsia="方正仿宋_GBK"/>
          <w:color w:val="000000"/>
          <w:sz w:val="24"/>
        </w:rPr>
        <w:t>（性别）</w:t>
      </w:r>
      <w:r>
        <w:rPr>
          <w:rFonts w:eastAsia="方正仿宋_GBK"/>
          <w:sz w:val="24"/>
        </w:rPr>
        <w:t>在</w:t>
      </w:r>
      <w:r>
        <w:rPr>
          <w:rFonts w:eastAsia="方正仿宋_GBK"/>
          <w:sz w:val="24"/>
          <w:u w:val="single"/>
        </w:rPr>
        <w:t xml:space="preserve">                       </w:t>
      </w:r>
      <w:r>
        <w:rPr>
          <w:rFonts w:eastAsia="方正仿宋_GBK"/>
          <w:sz w:val="24"/>
        </w:rPr>
        <w:t>（供应商名称）任</w:t>
      </w:r>
      <w:r>
        <w:rPr>
          <w:rFonts w:eastAsia="方正仿宋_GBK"/>
          <w:sz w:val="24"/>
          <w:u w:val="single"/>
        </w:rPr>
        <w:t xml:space="preserve">    </w:t>
      </w:r>
      <w:r>
        <w:rPr>
          <w:rFonts w:eastAsia="方正仿宋_GBK"/>
          <w:sz w:val="24"/>
        </w:rPr>
        <w:t>（职务名称）职务，是（供应商名称）</w:t>
      </w:r>
      <w:r>
        <w:rPr>
          <w:rFonts w:eastAsia="方正仿宋_GBK"/>
          <w:sz w:val="24"/>
          <w:u w:val="single"/>
        </w:rPr>
        <w:t xml:space="preserve">              </w:t>
      </w:r>
      <w:r>
        <w:rPr>
          <w:rFonts w:eastAsia="方正仿宋_GBK"/>
          <w:sz w:val="24"/>
        </w:rPr>
        <w:t>的法定代表人。</w:t>
      </w:r>
    </w:p>
    <w:p w14:paraId="454C94EC">
      <w:pPr>
        <w:tabs>
          <w:tab w:val="left" w:pos="6300"/>
        </w:tabs>
        <w:snapToGrid w:val="0"/>
        <w:spacing w:line="500" w:lineRule="exact"/>
        <w:ind w:firstLine="570"/>
        <w:rPr>
          <w:rFonts w:eastAsia="方正仿宋_GBK"/>
          <w:sz w:val="24"/>
        </w:rPr>
      </w:pPr>
    </w:p>
    <w:p w14:paraId="25F9F62E">
      <w:pPr>
        <w:tabs>
          <w:tab w:val="left" w:pos="6300"/>
        </w:tabs>
        <w:snapToGrid w:val="0"/>
        <w:spacing w:line="500" w:lineRule="exact"/>
        <w:ind w:firstLine="570"/>
        <w:rPr>
          <w:rFonts w:eastAsia="方正仿宋_GBK"/>
          <w:sz w:val="24"/>
        </w:rPr>
      </w:pPr>
      <w:r>
        <w:rPr>
          <w:rFonts w:eastAsia="方正仿宋_GBK"/>
          <w:sz w:val="24"/>
        </w:rPr>
        <w:t>特此证明。</w:t>
      </w:r>
    </w:p>
    <w:p w14:paraId="01661164">
      <w:pPr>
        <w:tabs>
          <w:tab w:val="left" w:pos="6300"/>
        </w:tabs>
        <w:snapToGrid w:val="0"/>
        <w:spacing w:line="500" w:lineRule="exact"/>
        <w:ind w:firstLine="570"/>
        <w:rPr>
          <w:rFonts w:eastAsia="方正仿宋_GBK"/>
          <w:sz w:val="24"/>
        </w:rPr>
      </w:pPr>
    </w:p>
    <w:p w14:paraId="43B5D22A">
      <w:pPr>
        <w:tabs>
          <w:tab w:val="left" w:pos="6300"/>
        </w:tabs>
        <w:snapToGrid w:val="0"/>
        <w:spacing w:line="500" w:lineRule="exact"/>
        <w:ind w:firstLine="570"/>
        <w:rPr>
          <w:rFonts w:eastAsia="方正仿宋_GBK"/>
          <w:sz w:val="24"/>
        </w:rPr>
      </w:pPr>
    </w:p>
    <w:p w14:paraId="314C6EE0">
      <w:pPr>
        <w:tabs>
          <w:tab w:val="left" w:pos="6300"/>
        </w:tabs>
        <w:snapToGrid w:val="0"/>
        <w:spacing w:line="500" w:lineRule="exact"/>
        <w:ind w:firstLine="570"/>
        <w:rPr>
          <w:rFonts w:eastAsia="方正仿宋_GBK"/>
          <w:sz w:val="24"/>
        </w:rPr>
      </w:pPr>
    </w:p>
    <w:p w14:paraId="5C464F9B">
      <w:pPr>
        <w:tabs>
          <w:tab w:val="left" w:pos="6300"/>
        </w:tabs>
        <w:snapToGrid w:val="0"/>
        <w:spacing w:line="500" w:lineRule="exact"/>
        <w:ind w:firstLine="570"/>
        <w:rPr>
          <w:rFonts w:eastAsia="方正仿宋_GBK"/>
          <w:sz w:val="24"/>
        </w:rPr>
      </w:pPr>
      <w:r>
        <w:rPr>
          <w:rFonts w:eastAsia="方正仿宋_GBK"/>
          <w:sz w:val="24"/>
        </w:rPr>
        <w:t xml:space="preserve">                                             （供应商公章）</w:t>
      </w:r>
    </w:p>
    <w:p w14:paraId="1068CB0C">
      <w:pPr>
        <w:tabs>
          <w:tab w:val="left" w:pos="6300"/>
        </w:tabs>
        <w:snapToGrid w:val="0"/>
        <w:spacing w:line="500" w:lineRule="exact"/>
        <w:ind w:firstLine="570"/>
        <w:rPr>
          <w:rFonts w:eastAsia="方正仿宋_GBK"/>
          <w:sz w:val="24"/>
        </w:rPr>
      </w:pPr>
    </w:p>
    <w:p w14:paraId="1F4247C1">
      <w:pPr>
        <w:tabs>
          <w:tab w:val="left" w:pos="6300"/>
        </w:tabs>
        <w:snapToGrid w:val="0"/>
        <w:spacing w:line="500" w:lineRule="exact"/>
        <w:ind w:firstLine="570"/>
        <w:rPr>
          <w:rFonts w:eastAsia="方正仿宋_GBK"/>
          <w:sz w:val="24"/>
        </w:rPr>
      </w:pPr>
      <w:r>
        <w:rPr>
          <w:rFonts w:eastAsia="方正仿宋_GBK"/>
          <w:sz w:val="24"/>
        </w:rPr>
        <w:t xml:space="preserve">                                             年   月   日</w:t>
      </w:r>
    </w:p>
    <w:p w14:paraId="4CC77A06">
      <w:pPr>
        <w:tabs>
          <w:tab w:val="left" w:pos="6300"/>
        </w:tabs>
        <w:snapToGrid w:val="0"/>
        <w:spacing w:line="500" w:lineRule="exact"/>
        <w:ind w:firstLine="570"/>
        <w:rPr>
          <w:rFonts w:eastAsia="方正仿宋_GBK"/>
          <w:sz w:val="24"/>
        </w:rPr>
      </w:pPr>
      <w:r>
        <w:rPr>
          <w:rFonts w:eastAsia="方正仿宋_GBK"/>
          <w:sz w:val="24"/>
        </w:rPr>
        <w:t xml:space="preserve">法定代表人电话：XXXXXXX      </w:t>
      </w:r>
    </w:p>
    <w:p w14:paraId="1BA119E4">
      <w:pPr>
        <w:tabs>
          <w:tab w:val="left" w:pos="6300"/>
        </w:tabs>
        <w:snapToGrid w:val="0"/>
        <w:spacing w:line="500" w:lineRule="exact"/>
        <w:ind w:firstLine="570"/>
        <w:rPr>
          <w:rFonts w:eastAsia="方正仿宋_GBK"/>
          <w:sz w:val="24"/>
        </w:rPr>
      </w:pPr>
      <w:r>
        <w:rPr>
          <w:rFonts w:eastAsia="方正仿宋_GBK"/>
          <w:sz w:val="24"/>
        </w:rPr>
        <w:t>（附：法定代表人身份证正反面复印件）</w:t>
      </w:r>
    </w:p>
    <w:p w14:paraId="0E6AEDEA">
      <w:pPr>
        <w:tabs>
          <w:tab w:val="left" w:pos="6300"/>
        </w:tabs>
        <w:snapToGrid w:val="0"/>
        <w:spacing w:line="500" w:lineRule="exact"/>
        <w:ind w:firstLine="570"/>
        <w:rPr>
          <w:rFonts w:eastAsia="方正仿宋_GBK"/>
          <w:sz w:val="24"/>
        </w:rPr>
      </w:pPr>
    </w:p>
    <w:p w14:paraId="3735D252">
      <w:pPr>
        <w:tabs>
          <w:tab w:val="left" w:pos="6300"/>
        </w:tabs>
        <w:snapToGrid w:val="0"/>
        <w:spacing w:line="500" w:lineRule="exact"/>
        <w:ind w:firstLine="570"/>
        <w:rPr>
          <w:rFonts w:eastAsia="方正仿宋_GBK"/>
          <w:sz w:val="24"/>
        </w:rPr>
      </w:pPr>
    </w:p>
    <w:p w14:paraId="26D262FD">
      <w:pPr>
        <w:tabs>
          <w:tab w:val="left" w:pos="6300"/>
        </w:tabs>
        <w:snapToGrid w:val="0"/>
        <w:spacing w:line="500" w:lineRule="exact"/>
        <w:ind w:firstLine="570"/>
        <w:rPr>
          <w:rFonts w:eastAsia="方正仿宋_GBK"/>
          <w:sz w:val="24"/>
        </w:rPr>
      </w:pPr>
    </w:p>
    <w:p w14:paraId="702C5D86">
      <w:pPr>
        <w:tabs>
          <w:tab w:val="left" w:pos="6300"/>
        </w:tabs>
        <w:snapToGrid w:val="0"/>
        <w:spacing w:line="500" w:lineRule="exact"/>
        <w:ind w:firstLine="570"/>
        <w:rPr>
          <w:rFonts w:eastAsia="方正仿宋_GBK"/>
          <w:sz w:val="24"/>
        </w:rPr>
      </w:pPr>
    </w:p>
    <w:p w14:paraId="710CC0CF">
      <w:pPr>
        <w:tabs>
          <w:tab w:val="left" w:pos="6300"/>
        </w:tabs>
        <w:snapToGrid w:val="0"/>
        <w:spacing w:line="500" w:lineRule="exact"/>
        <w:ind w:firstLine="570"/>
        <w:rPr>
          <w:rFonts w:eastAsia="方正仿宋_GBK"/>
          <w:sz w:val="24"/>
        </w:rPr>
      </w:pPr>
    </w:p>
    <w:p w14:paraId="114DAB08">
      <w:pPr>
        <w:tabs>
          <w:tab w:val="left" w:pos="6300"/>
        </w:tabs>
        <w:snapToGrid w:val="0"/>
        <w:spacing w:line="500" w:lineRule="exact"/>
        <w:ind w:firstLine="570"/>
        <w:rPr>
          <w:rFonts w:eastAsia="方正仿宋_GBK"/>
          <w:sz w:val="24"/>
        </w:rPr>
      </w:pPr>
    </w:p>
    <w:p w14:paraId="6BA6FFAF">
      <w:pPr>
        <w:snapToGrid w:val="0"/>
        <w:spacing w:line="400" w:lineRule="exact"/>
        <w:ind w:firstLine="560" w:firstLineChars="200"/>
        <w:rPr>
          <w:rFonts w:eastAsia="方正仿宋_GBK"/>
          <w:sz w:val="24"/>
          <w:szCs w:val="24"/>
        </w:rPr>
      </w:pPr>
      <w:r>
        <w:br w:type="column"/>
      </w:r>
      <w:r>
        <w:rPr>
          <w:rFonts w:eastAsia="方正仿宋_GBK"/>
          <w:sz w:val="24"/>
          <w:szCs w:val="24"/>
        </w:rPr>
        <w:t>（三）法定代表人授权委托书（格式）</w:t>
      </w:r>
    </w:p>
    <w:p w14:paraId="00ABDC1B">
      <w:pPr>
        <w:tabs>
          <w:tab w:val="left" w:pos="6300"/>
        </w:tabs>
        <w:snapToGrid w:val="0"/>
        <w:spacing w:line="500" w:lineRule="exact"/>
        <w:ind w:firstLine="570"/>
        <w:rPr>
          <w:rFonts w:eastAsia="方正仿宋_GBK"/>
          <w:sz w:val="24"/>
        </w:rPr>
      </w:pPr>
      <w:r>
        <w:rPr>
          <w:rFonts w:eastAsia="方正仿宋_GBK"/>
          <w:sz w:val="24"/>
        </w:rPr>
        <w:t xml:space="preserve">    </w:t>
      </w:r>
    </w:p>
    <w:p w14:paraId="5C27B147">
      <w:pPr>
        <w:tabs>
          <w:tab w:val="left" w:pos="6300"/>
        </w:tabs>
        <w:snapToGrid w:val="0"/>
        <w:spacing w:line="500" w:lineRule="exact"/>
        <w:ind w:firstLine="480" w:firstLineChars="200"/>
        <w:rPr>
          <w:rFonts w:eastAsia="方正仿宋_GBK"/>
          <w:sz w:val="24"/>
        </w:rPr>
      </w:pPr>
      <w:r>
        <w:rPr>
          <w:rFonts w:eastAsia="方正仿宋_GBK"/>
          <w:sz w:val="24"/>
          <w:szCs w:val="28"/>
        </w:rPr>
        <w:t>项目名称</w:t>
      </w:r>
      <w:r>
        <w:rPr>
          <w:rFonts w:eastAsia="方正仿宋_GBK"/>
          <w:sz w:val="24"/>
        </w:rPr>
        <w:t>：</w:t>
      </w:r>
      <w:r>
        <w:rPr>
          <w:rFonts w:eastAsia="方正仿宋_GBK"/>
          <w:sz w:val="24"/>
          <w:u w:val="single"/>
        </w:rPr>
        <w:t xml:space="preserve">                                                </w:t>
      </w:r>
    </w:p>
    <w:p w14:paraId="79C8D6D8">
      <w:pPr>
        <w:tabs>
          <w:tab w:val="left" w:pos="6300"/>
        </w:tabs>
        <w:snapToGrid w:val="0"/>
        <w:spacing w:line="500" w:lineRule="exact"/>
        <w:ind w:firstLine="570"/>
        <w:rPr>
          <w:rFonts w:eastAsia="方正仿宋_GBK"/>
          <w:sz w:val="24"/>
        </w:rPr>
      </w:pPr>
    </w:p>
    <w:p w14:paraId="28E710E9">
      <w:pPr>
        <w:tabs>
          <w:tab w:val="left" w:pos="6300"/>
        </w:tabs>
        <w:snapToGrid w:val="0"/>
        <w:spacing w:line="500" w:lineRule="exact"/>
        <w:rPr>
          <w:rFonts w:eastAsia="方正仿宋_GBK"/>
          <w:sz w:val="24"/>
        </w:rPr>
      </w:pPr>
      <w:r>
        <w:rPr>
          <w:rFonts w:eastAsia="方正仿宋_GBK"/>
          <w:sz w:val="24"/>
        </w:rPr>
        <w:t>致：</w:t>
      </w:r>
      <w:r>
        <w:rPr>
          <w:rFonts w:eastAsia="方正仿宋_GBK"/>
          <w:sz w:val="24"/>
          <w:u w:val="single"/>
        </w:rPr>
        <w:t xml:space="preserve">                     </w:t>
      </w:r>
      <w:r>
        <w:rPr>
          <w:rFonts w:eastAsia="方正仿宋_GBK"/>
          <w:sz w:val="24"/>
        </w:rPr>
        <w:t>（采购人名称）：</w:t>
      </w:r>
    </w:p>
    <w:p w14:paraId="4380789C">
      <w:pPr>
        <w:tabs>
          <w:tab w:val="left" w:pos="6300"/>
        </w:tabs>
        <w:snapToGrid w:val="0"/>
        <w:spacing w:line="500" w:lineRule="exact"/>
        <w:ind w:firstLine="480" w:firstLineChars="200"/>
        <w:rPr>
          <w:rFonts w:eastAsia="方正仿宋_GBK"/>
          <w:sz w:val="24"/>
        </w:rPr>
      </w:pPr>
      <w:r>
        <w:rPr>
          <w:rFonts w:eastAsia="方正仿宋_GBK"/>
          <w:sz w:val="24"/>
          <w:u w:val="single"/>
        </w:rPr>
        <w:t xml:space="preserve">            </w:t>
      </w:r>
      <w:r>
        <w:rPr>
          <w:rFonts w:eastAsia="方正仿宋_GBK"/>
          <w:sz w:val="24"/>
        </w:rPr>
        <w:t>（供应商法定代表人名称）是</w:t>
      </w:r>
      <w:r>
        <w:rPr>
          <w:rFonts w:eastAsia="方正仿宋_GBK"/>
          <w:sz w:val="24"/>
          <w:u w:val="single"/>
        </w:rPr>
        <w:t xml:space="preserve">                    </w:t>
      </w:r>
      <w:r>
        <w:rPr>
          <w:rFonts w:eastAsia="方正仿宋_GBK"/>
          <w:sz w:val="24"/>
        </w:rPr>
        <w:t>（供应商名称）的法定代表人，特授权</w:t>
      </w:r>
      <w:r>
        <w:rPr>
          <w:rFonts w:eastAsia="方正仿宋_GBK"/>
          <w:sz w:val="24"/>
          <w:u w:val="single"/>
        </w:rPr>
        <w:t xml:space="preserve">          </w:t>
      </w:r>
      <w:r>
        <w:rPr>
          <w:rFonts w:eastAsia="方正仿宋_GBK"/>
          <w:sz w:val="24"/>
        </w:rPr>
        <w:t>（被授权人姓名及身份证代码）代表我单位全权办理上述项目的比选、签约等具体工作，并签署全部有关文件、协议及合同。</w:t>
      </w:r>
    </w:p>
    <w:p w14:paraId="329FDAD4">
      <w:pPr>
        <w:tabs>
          <w:tab w:val="left" w:pos="6300"/>
        </w:tabs>
        <w:snapToGrid w:val="0"/>
        <w:spacing w:line="500" w:lineRule="exact"/>
        <w:ind w:firstLine="480" w:firstLineChars="200"/>
        <w:rPr>
          <w:rFonts w:eastAsia="方正仿宋_GBK"/>
          <w:sz w:val="24"/>
        </w:rPr>
      </w:pPr>
      <w:r>
        <w:rPr>
          <w:rFonts w:eastAsia="方正仿宋_GBK"/>
          <w:sz w:val="24"/>
        </w:rPr>
        <w:t>我单位对被授权人的</w:t>
      </w:r>
      <w:r>
        <w:rPr>
          <w:rFonts w:eastAsia="方正仿宋_GBK"/>
          <w:sz w:val="24"/>
          <w:szCs w:val="28"/>
        </w:rPr>
        <w:t>签署</w:t>
      </w:r>
      <w:r>
        <w:rPr>
          <w:rFonts w:eastAsia="方正仿宋_GBK"/>
          <w:sz w:val="24"/>
        </w:rPr>
        <w:t>负全部责任。</w:t>
      </w:r>
    </w:p>
    <w:p w14:paraId="399ACEE8">
      <w:pPr>
        <w:tabs>
          <w:tab w:val="left" w:pos="6300"/>
        </w:tabs>
        <w:snapToGrid w:val="0"/>
        <w:spacing w:line="500" w:lineRule="exact"/>
        <w:ind w:firstLine="480" w:firstLineChars="200"/>
        <w:rPr>
          <w:rFonts w:eastAsia="方正仿宋_GBK"/>
          <w:sz w:val="24"/>
        </w:rPr>
      </w:pPr>
      <w:r>
        <w:rPr>
          <w:rFonts w:eastAsia="方正仿宋_GBK"/>
          <w:sz w:val="24"/>
        </w:rPr>
        <w:t>在撤销授权的书面通知以前，本授权书一直有效。被授权人在授权书有效期内签署的所有文件不因授权的撤销而失效。</w:t>
      </w:r>
    </w:p>
    <w:p w14:paraId="03007699">
      <w:pPr>
        <w:tabs>
          <w:tab w:val="left" w:pos="6300"/>
        </w:tabs>
        <w:snapToGrid w:val="0"/>
        <w:spacing w:line="500" w:lineRule="exact"/>
        <w:ind w:firstLine="570"/>
        <w:rPr>
          <w:rFonts w:eastAsia="方正仿宋_GBK"/>
          <w:sz w:val="24"/>
        </w:rPr>
      </w:pPr>
    </w:p>
    <w:p w14:paraId="43D276AA">
      <w:pPr>
        <w:tabs>
          <w:tab w:val="left" w:pos="6300"/>
        </w:tabs>
        <w:snapToGrid w:val="0"/>
        <w:spacing w:line="500" w:lineRule="exact"/>
        <w:ind w:firstLine="570"/>
        <w:rPr>
          <w:rFonts w:eastAsia="方正仿宋_GBK"/>
          <w:sz w:val="24"/>
        </w:rPr>
      </w:pPr>
    </w:p>
    <w:p w14:paraId="7C1F429B">
      <w:pPr>
        <w:tabs>
          <w:tab w:val="left" w:pos="6300"/>
        </w:tabs>
        <w:snapToGrid w:val="0"/>
        <w:spacing w:line="500" w:lineRule="exact"/>
        <w:ind w:firstLine="570"/>
        <w:rPr>
          <w:rFonts w:eastAsia="方正仿宋_GBK"/>
          <w:sz w:val="24"/>
        </w:rPr>
      </w:pPr>
      <w:r>
        <w:rPr>
          <w:rFonts w:eastAsia="方正仿宋_GBK"/>
          <w:sz w:val="24"/>
        </w:rPr>
        <w:t>被授权人：                                 供应商法定代表人：</w:t>
      </w:r>
    </w:p>
    <w:p w14:paraId="564B25E6">
      <w:pPr>
        <w:tabs>
          <w:tab w:val="left" w:pos="6300"/>
        </w:tabs>
        <w:snapToGrid w:val="0"/>
        <w:spacing w:line="500" w:lineRule="exact"/>
        <w:ind w:firstLine="570"/>
        <w:rPr>
          <w:rFonts w:eastAsia="方正仿宋_GBK"/>
          <w:sz w:val="24"/>
          <w:szCs w:val="28"/>
        </w:rPr>
      </w:pPr>
      <w:r>
        <w:rPr>
          <w:rFonts w:eastAsia="方正仿宋_GBK"/>
          <w:sz w:val="24"/>
          <w:szCs w:val="28"/>
        </w:rPr>
        <w:t>（签署或盖章）                                （签署或盖章）</w:t>
      </w:r>
    </w:p>
    <w:p w14:paraId="1BF9D07C">
      <w:pPr>
        <w:tabs>
          <w:tab w:val="left" w:pos="6300"/>
        </w:tabs>
        <w:snapToGrid w:val="0"/>
        <w:spacing w:line="500" w:lineRule="exact"/>
        <w:ind w:firstLine="570"/>
        <w:rPr>
          <w:rFonts w:eastAsia="方正仿宋_GBK"/>
          <w:sz w:val="24"/>
          <w:szCs w:val="28"/>
        </w:rPr>
      </w:pPr>
    </w:p>
    <w:p w14:paraId="59BFD60C">
      <w:pPr>
        <w:tabs>
          <w:tab w:val="left" w:pos="6300"/>
        </w:tabs>
        <w:snapToGrid w:val="0"/>
        <w:spacing w:line="500" w:lineRule="exact"/>
        <w:ind w:firstLine="570"/>
        <w:rPr>
          <w:rFonts w:eastAsia="方正仿宋_GBK"/>
          <w:sz w:val="24"/>
        </w:rPr>
      </w:pPr>
    </w:p>
    <w:p w14:paraId="2F83829F">
      <w:pPr>
        <w:tabs>
          <w:tab w:val="left" w:pos="6300"/>
        </w:tabs>
        <w:snapToGrid w:val="0"/>
        <w:spacing w:line="500" w:lineRule="exact"/>
        <w:ind w:firstLine="570"/>
        <w:rPr>
          <w:rFonts w:eastAsia="方正仿宋_GBK"/>
          <w:sz w:val="24"/>
        </w:rPr>
      </w:pPr>
      <w:r>
        <w:rPr>
          <w:rFonts w:eastAsia="方正仿宋_GBK"/>
          <w:sz w:val="24"/>
        </w:rPr>
        <w:t>（附：被授权人身份证正反面复印件）</w:t>
      </w:r>
    </w:p>
    <w:p w14:paraId="6336D5B1">
      <w:pPr>
        <w:tabs>
          <w:tab w:val="left" w:pos="6300"/>
        </w:tabs>
        <w:snapToGrid w:val="0"/>
        <w:spacing w:line="500" w:lineRule="exact"/>
        <w:ind w:firstLine="570"/>
        <w:rPr>
          <w:rFonts w:eastAsia="方正仿宋_GBK"/>
          <w:sz w:val="24"/>
        </w:rPr>
      </w:pPr>
      <w:r>
        <w:rPr>
          <w:rFonts w:eastAsia="方正仿宋_GBK"/>
          <w:sz w:val="24"/>
        </w:rPr>
        <w:t xml:space="preserve">                                          </w:t>
      </w:r>
    </w:p>
    <w:p w14:paraId="49B0CF87">
      <w:pPr>
        <w:tabs>
          <w:tab w:val="left" w:pos="6300"/>
        </w:tabs>
        <w:snapToGrid w:val="0"/>
        <w:spacing w:line="500" w:lineRule="exact"/>
        <w:ind w:firstLine="570"/>
        <w:rPr>
          <w:rFonts w:eastAsia="方正仿宋_GBK"/>
          <w:sz w:val="24"/>
        </w:rPr>
      </w:pPr>
    </w:p>
    <w:p w14:paraId="1F163AEC">
      <w:pPr>
        <w:tabs>
          <w:tab w:val="left" w:pos="6300"/>
        </w:tabs>
        <w:snapToGrid w:val="0"/>
        <w:spacing w:line="500" w:lineRule="exact"/>
        <w:ind w:firstLine="570"/>
        <w:rPr>
          <w:rFonts w:eastAsia="方正仿宋_GBK"/>
          <w:sz w:val="24"/>
        </w:rPr>
      </w:pPr>
    </w:p>
    <w:p w14:paraId="32DF3126">
      <w:pPr>
        <w:tabs>
          <w:tab w:val="left" w:pos="6300"/>
        </w:tabs>
        <w:snapToGrid w:val="0"/>
        <w:spacing w:line="500" w:lineRule="exact"/>
        <w:ind w:right="480" w:firstLine="570"/>
        <w:jc w:val="right"/>
        <w:rPr>
          <w:rFonts w:eastAsia="方正仿宋_GBK"/>
          <w:sz w:val="24"/>
        </w:rPr>
      </w:pPr>
      <w:r>
        <w:rPr>
          <w:rFonts w:eastAsia="方正仿宋_GBK"/>
          <w:sz w:val="24"/>
        </w:rPr>
        <w:t>（供应商公章）</w:t>
      </w:r>
    </w:p>
    <w:p w14:paraId="376D483C">
      <w:pPr>
        <w:tabs>
          <w:tab w:val="left" w:pos="6300"/>
        </w:tabs>
        <w:snapToGrid w:val="0"/>
        <w:spacing w:line="500" w:lineRule="exact"/>
        <w:ind w:right="480" w:firstLine="570"/>
        <w:jc w:val="right"/>
        <w:rPr>
          <w:rFonts w:eastAsia="方正仿宋_GBK"/>
          <w:sz w:val="24"/>
        </w:rPr>
      </w:pPr>
      <w:r>
        <w:rPr>
          <w:rFonts w:eastAsia="方正仿宋_GBK"/>
          <w:sz w:val="24"/>
        </w:rPr>
        <w:t>年   月   日</w:t>
      </w:r>
    </w:p>
    <w:p w14:paraId="7678FFEF">
      <w:pPr>
        <w:tabs>
          <w:tab w:val="left" w:pos="6300"/>
        </w:tabs>
        <w:snapToGrid w:val="0"/>
        <w:spacing w:line="500" w:lineRule="exact"/>
        <w:ind w:right="480" w:firstLine="570"/>
        <w:jc w:val="left"/>
        <w:rPr>
          <w:rFonts w:eastAsia="方正仿宋_GBK"/>
          <w:sz w:val="24"/>
        </w:rPr>
      </w:pPr>
      <w:r>
        <w:rPr>
          <w:rFonts w:eastAsia="方正仿宋_GBK"/>
          <w:sz w:val="24"/>
        </w:rPr>
        <w:t xml:space="preserve">被授权人电话：XXXXXXX     </w:t>
      </w:r>
    </w:p>
    <w:p w14:paraId="1AFF615F">
      <w:pPr>
        <w:tabs>
          <w:tab w:val="left" w:pos="6300"/>
        </w:tabs>
        <w:snapToGrid w:val="0"/>
        <w:spacing w:line="500" w:lineRule="exact"/>
        <w:ind w:right="480" w:firstLine="570"/>
        <w:jc w:val="left"/>
        <w:rPr>
          <w:rFonts w:eastAsia="方正仿宋_GBK"/>
          <w:sz w:val="24"/>
        </w:rPr>
      </w:pPr>
      <w:r>
        <w:rPr>
          <w:rFonts w:eastAsia="方正仿宋_GBK"/>
          <w:sz w:val="24"/>
        </w:rPr>
        <w:t>注：</w:t>
      </w:r>
    </w:p>
    <w:p w14:paraId="52474291">
      <w:pPr>
        <w:tabs>
          <w:tab w:val="left" w:pos="6300"/>
        </w:tabs>
        <w:snapToGrid w:val="0"/>
        <w:spacing w:line="500" w:lineRule="exact"/>
        <w:ind w:right="480" w:firstLine="570"/>
        <w:jc w:val="left"/>
        <w:rPr>
          <w:rFonts w:eastAsia="方正仿宋_GBK"/>
          <w:sz w:val="24"/>
        </w:rPr>
      </w:pPr>
      <w:r>
        <w:rPr>
          <w:rFonts w:eastAsia="方正仿宋_GBK"/>
          <w:sz w:val="24"/>
        </w:rPr>
        <w:t>若为法定代表人办理并签署响应文件的，不提供此文件。</w:t>
      </w:r>
    </w:p>
    <w:p w14:paraId="12D19257">
      <w:pPr>
        <w:tabs>
          <w:tab w:val="left" w:pos="6300"/>
        </w:tabs>
        <w:snapToGrid w:val="0"/>
        <w:spacing w:line="500" w:lineRule="exact"/>
        <w:ind w:firstLine="570"/>
        <w:rPr>
          <w:rFonts w:eastAsia="方正仿宋_GBK"/>
          <w:sz w:val="24"/>
        </w:rPr>
      </w:pPr>
    </w:p>
    <w:p w14:paraId="0CE7C908">
      <w:pPr>
        <w:pStyle w:val="77"/>
        <w:rPr>
          <w:rFonts w:ascii="Times New Roman" w:hAnsi="Times New Roman" w:cs="Times New Roman"/>
        </w:rPr>
      </w:pPr>
      <w:r>
        <w:rPr>
          <w:rFonts w:ascii="Times New Roman" w:hAnsi="Times New Roman" w:cs="Times New Roman"/>
        </w:rPr>
        <w:br w:type="column"/>
      </w:r>
      <w:r>
        <w:rPr>
          <w:rFonts w:ascii="Times New Roman" w:hAnsi="Times New Roman" w:cs="Times New Roman"/>
        </w:rPr>
        <w:t>（四）基本资格条件承诺函</w:t>
      </w:r>
    </w:p>
    <w:p w14:paraId="3317FEF0">
      <w:pPr>
        <w:tabs>
          <w:tab w:val="left" w:pos="6300"/>
        </w:tabs>
        <w:snapToGrid w:val="0"/>
        <w:spacing w:line="500" w:lineRule="exact"/>
        <w:ind w:firstLine="482" w:firstLineChars="200"/>
        <w:jc w:val="center"/>
        <w:rPr>
          <w:rFonts w:eastAsia="方正仿宋_GBK"/>
          <w:b/>
          <w:bCs/>
          <w:sz w:val="24"/>
          <w:szCs w:val="24"/>
        </w:rPr>
      </w:pPr>
      <w:r>
        <w:rPr>
          <w:rFonts w:eastAsia="方正仿宋_GBK"/>
          <w:b/>
          <w:bCs/>
          <w:sz w:val="24"/>
          <w:szCs w:val="24"/>
        </w:rPr>
        <w:t>基本资格条件承诺函</w:t>
      </w:r>
    </w:p>
    <w:p w14:paraId="3A9C1E85">
      <w:pPr>
        <w:tabs>
          <w:tab w:val="left" w:pos="6300"/>
        </w:tabs>
        <w:snapToGrid w:val="0"/>
        <w:spacing w:line="530" w:lineRule="exact"/>
        <w:rPr>
          <w:sz w:val="24"/>
        </w:rPr>
      </w:pPr>
    </w:p>
    <w:p w14:paraId="124BAC49">
      <w:pPr>
        <w:pStyle w:val="77"/>
        <w:rPr>
          <w:rFonts w:ascii="Times New Roman" w:hAnsi="Times New Roman" w:cs="Times New Roman"/>
        </w:rPr>
      </w:pPr>
      <w:r>
        <w:rPr>
          <w:rFonts w:ascii="Times New Roman" w:hAnsi="Times New Roman" w:cs="Times New Roman"/>
        </w:rPr>
        <w:t>致                   （采购人名称）：</w:t>
      </w:r>
    </w:p>
    <w:p w14:paraId="7C1D296F">
      <w:pPr>
        <w:pStyle w:val="77"/>
        <w:rPr>
          <w:rFonts w:ascii="Times New Roman" w:hAnsi="Times New Roman" w:cs="Times New Roman"/>
        </w:rPr>
      </w:pPr>
      <w:r>
        <w:rPr>
          <w:rFonts w:ascii="Times New Roman" w:hAnsi="Times New Roman" w:cs="Times New Roman"/>
        </w:rPr>
        <w:t xml:space="preserve">                  （供应商名称）郑重承诺：</w:t>
      </w:r>
    </w:p>
    <w:p w14:paraId="05CB7B04">
      <w:pPr>
        <w:pStyle w:val="77"/>
        <w:rPr>
          <w:rFonts w:ascii="Times New Roman" w:hAnsi="Times New Roman" w:cs="Times New Roman"/>
        </w:rPr>
      </w:pPr>
      <w:r>
        <w:rPr>
          <w:rFonts w:ascii="Times New Roman" w:hAnsi="Times New Roman" w:cs="Times New Roman"/>
        </w:rPr>
        <w:t>1.我方具有良好的商业信誉和健全的财务会计制度，具有履行合同所必需的设备和专业技术能力，具</w:t>
      </w:r>
      <w:r>
        <w:rPr>
          <w:rFonts w:ascii="Times New Roman" w:hAnsi="Times New Roman" w:cs="Times New Roman"/>
          <w:lang w:val="zh-CN"/>
        </w:rPr>
        <w:t>有依法缴纳税收和社会保障金的良好记录</w:t>
      </w:r>
      <w:r>
        <w:rPr>
          <w:rFonts w:ascii="Times New Roman" w:hAnsi="Times New Roman" w:cs="Times New Roman"/>
        </w:rPr>
        <w:t>，参加本项目采购活动前三年内无重大违法活动记录。</w:t>
      </w:r>
    </w:p>
    <w:p w14:paraId="6A3B0D4F">
      <w:pPr>
        <w:pStyle w:val="77"/>
        <w:rPr>
          <w:rFonts w:ascii="Times New Roman" w:hAnsi="Times New Roman" w:cs="Times New Roman"/>
        </w:rPr>
      </w:pPr>
      <w:r>
        <w:rPr>
          <w:rFonts w:ascii="Times New Roman" w:hAnsi="Times New Roman" w:cs="Times New Roman"/>
        </w:rPr>
        <w:t>2.我方未列入在信用中国网站（www.creditchina.gov.cn）“失信被执行人”、“重大税收违法案件当事人名单”中，也未列入中国政府采购网（www.ccgp.gov.cn）“政府采购严重违法失信行为记录名单”中。</w:t>
      </w:r>
    </w:p>
    <w:p w14:paraId="767A8D20">
      <w:pPr>
        <w:pStyle w:val="77"/>
        <w:rPr>
          <w:rFonts w:ascii="Times New Roman" w:hAnsi="Times New Roman" w:cs="Times New Roman"/>
        </w:rPr>
      </w:pPr>
      <w:r>
        <w:rPr>
          <w:rFonts w:ascii="Times New Roman" w:hAnsi="Times New Roman" w:cs="Times New Roman"/>
        </w:rPr>
        <w:t>3.我方在采购项目评审（评标）环节结束后，随时接受采购人的检查验证，配合提供相关证明材料，证明符合《中华人民共和国政府采购法》规定的供应商基本资格条件。</w:t>
      </w:r>
    </w:p>
    <w:p w14:paraId="56850760">
      <w:pPr>
        <w:pStyle w:val="77"/>
        <w:rPr>
          <w:rFonts w:ascii="Times New Roman" w:hAnsi="Times New Roman" w:cs="Times New Roman"/>
        </w:rPr>
      </w:pPr>
      <w:r>
        <w:rPr>
          <w:rFonts w:ascii="Times New Roman" w:hAnsi="Times New Roman" w:cs="Times New Roman"/>
        </w:rPr>
        <w:t>我方对以上承诺负全部法律责任。</w:t>
      </w:r>
    </w:p>
    <w:p w14:paraId="4878C65D">
      <w:pPr>
        <w:pStyle w:val="77"/>
        <w:rPr>
          <w:rFonts w:ascii="Times New Roman" w:hAnsi="Times New Roman" w:cs="Times New Roman"/>
        </w:rPr>
      </w:pPr>
      <w:r>
        <w:rPr>
          <w:rFonts w:ascii="Times New Roman" w:hAnsi="Times New Roman" w:cs="Times New Roman"/>
        </w:rPr>
        <w:t>特此承诺。</w:t>
      </w:r>
    </w:p>
    <w:p w14:paraId="5C5ECB7B">
      <w:pPr>
        <w:pStyle w:val="77"/>
        <w:rPr>
          <w:rFonts w:ascii="Times New Roman" w:hAnsi="Times New Roman" w:cs="Times New Roman"/>
        </w:rPr>
      </w:pPr>
    </w:p>
    <w:p w14:paraId="3BB10487">
      <w:pPr>
        <w:pStyle w:val="77"/>
        <w:rPr>
          <w:rFonts w:ascii="Times New Roman" w:hAnsi="Times New Roman" w:cs="Times New Roman"/>
        </w:rPr>
      </w:pPr>
      <w:r>
        <w:rPr>
          <w:rFonts w:ascii="Times New Roman" w:hAnsi="Times New Roman" w:cs="Times New Roman"/>
        </w:rPr>
        <w:t>（供应商公章）</w:t>
      </w:r>
    </w:p>
    <w:p w14:paraId="11077687">
      <w:pPr>
        <w:pStyle w:val="77"/>
        <w:rPr>
          <w:rFonts w:ascii="Times New Roman" w:hAnsi="Times New Roman" w:cs="Times New Roman"/>
        </w:rPr>
      </w:pPr>
      <w:r>
        <w:rPr>
          <w:rFonts w:ascii="Times New Roman" w:hAnsi="Times New Roman" w:cs="Times New Roman"/>
        </w:rPr>
        <w:t>年   月   日</w:t>
      </w:r>
    </w:p>
    <w:p w14:paraId="665AD775">
      <w:pPr>
        <w:pStyle w:val="77"/>
        <w:rPr>
          <w:rFonts w:ascii="Times New Roman" w:hAnsi="Times New Roman" w:cs="Times New Roman"/>
        </w:rPr>
      </w:pPr>
      <w:r>
        <w:rPr>
          <w:rFonts w:ascii="Times New Roman" w:hAnsi="Times New Roman" w:cs="Times New Roman"/>
        </w:rPr>
        <w:br w:type="page"/>
      </w:r>
      <w:r>
        <w:rPr>
          <w:rFonts w:ascii="Times New Roman" w:hAnsi="Times New Roman" w:cs="Times New Roman"/>
        </w:rPr>
        <w:t>（五）特定资格条件证明文件</w:t>
      </w:r>
    </w:p>
    <w:p w14:paraId="4608891B">
      <w:pPr>
        <w:tabs>
          <w:tab w:val="left" w:pos="6300"/>
        </w:tabs>
        <w:snapToGrid w:val="0"/>
        <w:spacing w:line="400" w:lineRule="exact"/>
        <w:ind w:firstLine="480" w:firstLineChars="200"/>
        <w:rPr>
          <w:rFonts w:eastAsia="方正仿宋_GBK"/>
          <w:sz w:val="24"/>
          <w:szCs w:val="24"/>
        </w:rPr>
      </w:pPr>
    </w:p>
    <w:p w14:paraId="5080B656">
      <w:pPr>
        <w:spacing w:line="360" w:lineRule="auto"/>
        <w:rPr>
          <w:rFonts w:eastAsia="方正仿宋_GBK"/>
          <w:sz w:val="24"/>
          <w:szCs w:val="24"/>
        </w:rPr>
      </w:pPr>
    </w:p>
    <w:p w14:paraId="74DFDFCC">
      <w:pPr>
        <w:spacing w:line="360" w:lineRule="auto"/>
        <w:ind w:firstLine="480" w:firstLineChars="200"/>
        <w:jc w:val="center"/>
        <w:rPr>
          <w:rFonts w:eastAsia="方正仿宋_GBK"/>
          <w:sz w:val="24"/>
          <w:szCs w:val="24"/>
        </w:rPr>
      </w:pPr>
    </w:p>
    <w:p w14:paraId="4B999E27">
      <w:pPr>
        <w:spacing w:line="360" w:lineRule="auto"/>
        <w:ind w:firstLine="480" w:firstLineChars="200"/>
        <w:jc w:val="center"/>
        <w:rPr>
          <w:rFonts w:eastAsia="方正仿宋_GBK"/>
          <w:sz w:val="24"/>
          <w:szCs w:val="24"/>
        </w:rPr>
      </w:pPr>
    </w:p>
    <w:p w14:paraId="5F55208C">
      <w:pPr>
        <w:spacing w:line="360" w:lineRule="auto"/>
        <w:ind w:firstLine="480" w:firstLineChars="200"/>
        <w:jc w:val="center"/>
        <w:rPr>
          <w:rFonts w:eastAsia="方正仿宋_GBK"/>
          <w:sz w:val="24"/>
          <w:szCs w:val="24"/>
        </w:rPr>
      </w:pPr>
    </w:p>
    <w:p w14:paraId="5FCE87A7">
      <w:pPr>
        <w:spacing w:line="360" w:lineRule="auto"/>
        <w:ind w:firstLine="480" w:firstLineChars="200"/>
        <w:jc w:val="center"/>
        <w:rPr>
          <w:rFonts w:eastAsia="方正仿宋_GBK"/>
          <w:sz w:val="24"/>
          <w:szCs w:val="24"/>
        </w:rPr>
      </w:pPr>
    </w:p>
    <w:p w14:paraId="113707FC">
      <w:pPr>
        <w:spacing w:line="360" w:lineRule="auto"/>
        <w:ind w:firstLine="480" w:firstLineChars="200"/>
        <w:jc w:val="center"/>
        <w:rPr>
          <w:rFonts w:eastAsia="方正仿宋_GBK"/>
          <w:sz w:val="24"/>
          <w:szCs w:val="24"/>
        </w:rPr>
      </w:pPr>
    </w:p>
    <w:p w14:paraId="0739FAC2">
      <w:pPr>
        <w:spacing w:line="360" w:lineRule="auto"/>
        <w:ind w:firstLine="480" w:firstLineChars="200"/>
        <w:jc w:val="center"/>
        <w:rPr>
          <w:rFonts w:eastAsia="方正仿宋_GBK"/>
          <w:sz w:val="24"/>
          <w:szCs w:val="24"/>
        </w:rPr>
      </w:pPr>
    </w:p>
    <w:p w14:paraId="56559E65">
      <w:pPr>
        <w:spacing w:line="360" w:lineRule="auto"/>
        <w:ind w:firstLine="480" w:firstLineChars="200"/>
        <w:jc w:val="center"/>
        <w:rPr>
          <w:rFonts w:eastAsia="方正仿宋_GBK"/>
          <w:sz w:val="24"/>
          <w:szCs w:val="24"/>
        </w:rPr>
      </w:pPr>
    </w:p>
    <w:p w14:paraId="2DAA7231">
      <w:pPr>
        <w:spacing w:line="360" w:lineRule="auto"/>
        <w:ind w:firstLine="480" w:firstLineChars="200"/>
        <w:jc w:val="center"/>
        <w:rPr>
          <w:rFonts w:eastAsia="方正仿宋_GBK"/>
          <w:sz w:val="24"/>
          <w:szCs w:val="24"/>
        </w:rPr>
      </w:pPr>
    </w:p>
    <w:p w14:paraId="7EEB920C">
      <w:pPr>
        <w:spacing w:line="360" w:lineRule="auto"/>
        <w:ind w:firstLine="480" w:firstLineChars="200"/>
        <w:jc w:val="center"/>
        <w:rPr>
          <w:rFonts w:eastAsia="方正仿宋_GBK"/>
          <w:sz w:val="24"/>
          <w:szCs w:val="24"/>
        </w:rPr>
      </w:pPr>
    </w:p>
    <w:p w14:paraId="2E4EC4CE">
      <w:pPr>
        <w:spacing w:line="360" w:lineRule="auto"/>
        <w:ind w:firstLine="480" w:firstLineChars="200"/>
        <w:jc w:val="center"/>
        <w:rPr>
          <w:rFonts w:eastAsia="方正仿宋_GBK"/>
          <w:sz w:val="24"/>
          <w:szCs w:val="24"/>
        </w:rPr>
      </w:pPr>
    </w:p>
    <w:p w14:paraId="1EE0E2C9">
      <w:pPr>
        <w:spacing w:line="360" w:lineRule="auto"/>
        <w:ind w:firstLine="480" w:firstLineChars="200"/>
        <w:jc w:val="center"/>
        <w:rPr>
          <w:rFonts w:eastAsia="方正仿宋_GBK"/>
          <w:sz w:val="24"/>
          <w:szCs w:val="24"/>
        </w:rPr>
      </w:pPr>
    </w:p>
    <w:p w14:paraId="34690B97">
      <w:pPr>
        <w:spacing w:line="360" w:lineRule="auto"/>
        <w:ind w:firstLine="480" w:firstLineChars="200"/>
        <w:jc w:val="center"/>
        <w:rPr>
          <w:rFonts w:eastAsia="方正仿宋_GBK"/>
          <w:sz w:val="24"/>
          <w:szCs w:val="24"/>
        </w:rPr>
      </w:pPr>
    </w:p>
    <w:p w14:paraId="3CEE8024">
      <w:pPr>
        <w:spacing w:line="360" w:lineRule="auto"/>
        <w:ind w:firstLine="480" w:firstLineChars="200"/>
        <w:jc w:val="center"/>
        <w:rPr>
          <w:rFonts w:eastAsia="方正仿宋_GBK"/>
          <w:sz w:val="24"/>
          <w:szCs w:val="24"/>
        </w:rPr>
      </w:pPr>
    </w:p>
    <w:p w14:paraId="24B6A837">
      <w:pPr>
        <w:spacing w:line="360" w:lineRule="auto"/>
        <w:ind w:firstLine="480" w:firstLineChars="200"/>
        <w:jc w:val="center"/>
        <w:rPr>
          <w:rFonts w:eastAsia="方正仿宋_GBK"/>
          <w:sz w:val="24"/>
          <w:szCs w:val="24"/>
        </w:rPr>
      </w:pPr>
    </w:p>
    <w:p w14:paraId="0E60163B">
      <w:pPr>
        <w:spacing w:line="360" w:lineRule="auto"/>
        <w:ind w:firstLine="560" w:firstLineChars="200"/>
        <w:jc w:val="center"/>
        <w:outlineLvl w:val="0"/>
        <w:rPr>
          <w:rFonts w:eastAsia="方正仿宋_GBK"/>
        </w:rPr>
      </w:pPr>
    </w:p>
    <w:sectPr>
      <w:pgSz w:w="11907" w:h="16840"/>
      <w:pgMar w:top="1134" w:right="1191" w:bottom="1134" w:left="1304" w:header="851" w:footer="992" w:gutter="0"/>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09ADE4-9D60-4380-92F0-370A7933803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55E47F50-0CE3-4AA5-9D9E-F8AD1256DE05}"/>
  </w:font>
  <w:font w:name="Helvetica">
    <w:altName w:val="Arial"/>
    <w:panose1 w:val="020B0504020202020204"/>
    <w:charset w:val="00"/>
    <w:family w:val="swiss"/>
    <w:pitch w:val="default"/>
    <w:sig w:usb0="00000000" w:usb1="00000000" w:usb2="00000009" w:usb3="00000000" w:csb0="000001FF" w:csb1="00000000"/>
  </w:font>
  <w:font w:name="方正仿宋_GBK">
    <w:panose1 w:val="03000509000000000000"/>
    <w:charset w:val="86"/>
    <w:family w:val="script"/>
    <w:pitch w:val="default"/>
    <w:sig w:usb0="00000001" w:usb1="080E0000" w:usb2="00000000" w:usb3="00000000" w:csb0="00040000" w:csb1="00000000"/>
    <w:embedRegular r:id="rId3" w:fontKey="{42FA368E-99BA-4B31-95C1-A2633B0DB330}"/>
  </w:font>
  <w:font w:name="Arial Narrow">
    <w:altName w:val="Arial"/>
    <w:panose1 w:val="020B0606020202030204"/>
    <w:charset w:val="00"/>
    <w:family w:val="swiss"/>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4" w:fontKey="{53FCB030-F922-4F9E-98FA-D1BE7461A668}"/>
  </w:font>
  <w:font w:name="方正黑体_GBK">
    <w:panose1 w:val="03000509000000000000"/>
    <w:charset w:val="86"/>
    <w:family w:val="script"/>
    <w:pitch w:val="default"/>
    <w:sig w:usb0="00000001" w:usb1="080E0000" w:usb2="00000000" w:usb3="00000000" w:csb0="00040000" w:csb1="00000000"/>
    <w:embedRegular r:id="rId5" w:fontKey="{DFB6E417-93C1-4B43-8A16-491C03B60E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43906">
    <w:pPr>
      <w:pStyle w:val="35"/>
      <w:tabs>
        <w:tab w:val="right" w:pos="9014"/>
      </w:tabs>
    </w:pPr>
    <w:r>
      <w:rPr>
        <w:rFonts w:hint="eastAsia"/>
      </w:rPr>
      <w:tab/>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73DC4">
    <w:pPr>
      <w:pStyle w:val="3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682732042"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5DD88C57">
                          <w:pPr>
                            <w:pStyle w:val="35"/>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Pi91E0AAAAAIBAAAPAAAAAAAAAAEAIAAAACIA&#10;AABkcnMvZG93bnJldi54bWxQSwECFAAUAAAACACHTuJAeXzryxECAAAJBAAADgAAAAAAAAABACAA&#10;AAAfAQAAZHJzL2Uyb0RvYy54bWxQSwUGAAAAAAYABgBZAQAAogUAAAAA&#10;">
              <v:fill on="f" focussize="0,0"/>
              <v:stroke on="f"/>
              <v:imagedata o:title=""/>
              <o:lock v:ext="edit" aspectratio="f"/>
              <v:textbox inset="0mm,0mm,0mm,0mm" style="mso-fit-shape-to-text:t;">
                <w:txbxContent>
                  <w:p w14:paraId="5DD88C57">
                    <w:pPr>
                      <w:pStyle w:val="3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E0AD7">
    <w:pPr>
      <w:pStyle w:val="35"/>
      <w:jc w:val="center"/>
      <w:rPr>
        <w:rFonts w:hint="eastAsia" w:ascii="宋体" w:hAns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67310" cy="172720"/>
              <wp:effectExtent l="0" t="0" r="0" b="0"/>
              <wp:wrapNone/>
              <wp:docPr id="1370803062" name="文本框 4"/>
              <wp:cNvGraphicFramePr/>
              <a:graphic xmlns:a="http://schemas.openxmlformats.org/drawingml/2006/main">
                <a:graphicData uri="http://schemas.microsoft.com/office/word/2010/wordprocessingShape">
                  <wps:wsp>
                    <wps:cNvSpPr txBox="1">
                      <a:spLocks noChangeArrowheads="1"/>
                    </wps:cNvSpPr>
                    <wps:spPr bwMode="auto">
                      <a:xfrm>
                        <a:off x="0" y="0"/>
                        <a:ext cx="67310" cy="172720"/>
                      </a:xfrm>
                      <a:prstGeom prst="rect">
                        <a:avLst/>
                      </a:prstGeom>
                      <a:noFill/>
                      <a:ln>
                        <a:noFill/>
                      </a:ln>
                    </wps:spPr>
                    <wps:txbx>
                      <w:txbxContent>
                        <w:p w14:paraId="5081C897">
                          <w:pPr>
                            <w:pStyle w:val="35"/>
                            <w:jc w:val="cente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- 6 -</w:t>
                          </w:r>
                          <w:r>
                            <w:rPr>
                              <w:rFonts w:ascii="宋体" w:hAnsi="宋体"/>
                              <w:sz w:val="21"/>
                              <w:szCs w:val="21"/>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3.6pt;width:5.3pt;mso-position-horizontal:center;mso-position-horizontal-relative:margin;mso-wrap-style:none;z-index:251660288;mso-width-relative:page;mso-height-relative:page;" filled="f" stroked="f" coordsize="21600,21600" o:gfxdata="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RgyknQAAAAAwEAAA8AAAAAAAAAAQAgAAAAIgAA&#10;AGRycy9kb3ducmV2LnhtbFBLAQIUABQAAAAIAIdO4kAoQ3huEAIAAAoEAAAOAAAAAAAAAAEAIAAA&#10;AB8BAABkcnMvZTJvRG9jLnhtbFBLBQYAAAAABgAGAFkBAAChBQAAAAA=&#10;">
              <v:fill on="f" focussize="0,0"/>
              <v:stroke on="f"/>
              <v:imagedata o:title=""/>
              <o:lock v:ext="edit" aspectratio="f"/>
              <v:textbox inset="0mm,0mm,0mm,0mm" style="mso-fit-shape-to-text:t;">
                <w:txbxContent>
                  <w:p w14:paraId="5081C897">
                    <w:pPr>
                      <w:pStyle w:val="35"/>
                      <w:jc w:val="cente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- 6 -</w:t>
                    </w:r>
                    <w:r>
                      <w:rPr>
                        <w:rFonts w:ascii="宋体" w:hAnsi="宋体"/>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1099A">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14:paraId="591A0A3F">
    <w:pPr>
      <w:pStyle w:val="3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F812A">
    <w:pPr>
      <w:pStyle w:val="3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1140855731"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7AA92D57">
                          <w:pPr>
                            <w:pStyle w:val="35"/>
                          </w:pPr>
                          <w:r>
                            <w:fldChar w:fldCharType="begin"/>
                          </w:r>
                          <w:r>
                            <w:instrText xml:space="preserve"> PAGE  \* MERGEFORMAT </w:instrText>
                          </w:r>
                          <w:r>
                            <w:fldChar w:fldCharType="separate"/>
                          </w:r>
                          <w:r>
                            <w:t>11</w:t>
                          </w:r>
                          <w: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D5X5J0AAAAAMBAAAPAAAAAAAAAAEAIAAAACIA&#10;AABkcnMvZG93bnJldi54bWxQSwECFAAUAAAACACHTuJABPXeShECAAALBAAADgAAAAAAAAABACAA&#10;AAAfAQAAZHJzL2Uyb0RvYy54bWxQSwUGAAAAAAYABgBZAQAAogUAAAAA&#10;">
              <v:fill on="f" focussize="0,0"/>
              <v:stroke on="f"/>
              <v:imagedata o:title=""/>
              <o:lock v:ext="edit" aspectratio="f"/>
              <v:textbox inset="0mm,0mm,0mm,0mm" style="mso-fit-shape-to-text:t;">
                <w:txbxContent>
                  <w:p w14:paraId="7AA92D57">
                    <w:pPr>
                      <w:pStyle w:val="3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D5C0E">
    <w:pPr>
      <w:pStyle w:val="3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83A64">
    <w:pPr>
      <w:pStyle w:val="3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C32B4E"/>
    <w:multiLevelType w:val="singleLevel"/>
    <w:tmpl w:val="E7C32B4E"/>
    <w:lvl w:ilvl="0" w:tentative="0">
      <w:start w:val="4"/>
      <w:numFmt w:val="chineseCounting"/>
      <w:suff w:val="nothing"/>
      <w:lvlText w:val="%1、"/>
      <w:lvlJc w:val="left"/>
      <w:rPr>
        <w:rFonts w:hint="eastAsia"/>
      </w:rPr>
    </w:lvl>
  </w:abstractNum>
  <w:abstractNum w:abstractNumId="1">
    <w:nsid w:val="00000009"/>
    <w:multiLevelType w:val="multilevel"/>
    <w:tmpl w:val="00000009"/>
    <w:lvl w:ilvl="0" w:tentative="0">
      <w:start w:val="1"/>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pStyle w:val="92"/>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000000A"/>
    <w:multiLevelType w:val="multilevel"/>
    <w:tmpl w:val="0000000A"/>
    <w:lvl w:ilvl="0" w:tentative="0">
      <w:start w:val="1"/>
      <w:numFmt w:val="bullet"/>
      <w:pStyle w:val="11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B"/>
    <w:multiLevelType w:val="singleLevel"/>
    <w:tmpl w:val="0000000B"/>
    <w:lvl w:ilvl="0" w:tentative="0">
      <w:start w:val="1"/>
      <w:numFmt w:val="bullet"/>
      <w:pStyle w:val="124"/>
      <w:lvlText w:val=""/>
      <w:lvlJc w:val="left"/>
      <w:pPr>
        <w:tabs>
          <w:tab w:val="left" w:pos="360"/>
        </w:tabs>
        <w:ind w:left="360" w:hanging="360"/>
      </w:pPr>
      <w:rPr>
        <w:rFonts w:hint="default" w:ascii="Wingdings" w:hAnsi="Wingdings"/>
      </w:rPr>
    </w:lvl>
  </w:abstractNum>
  <w:abstractNum w:abstractNumId="4">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5">
    <w:nsid w:val="0000000E"/>
    <w:multiLevelType w:val="multilevel"/>
    <w:tmpl w:val="0000000E"/>
    <w:lvl w:ilvl="0" w:tentative="0">
      <w:start w:val="1"/>
      <w:numFmt w:val="bullet"/>
      <w:pStyle w:val="141"/>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6">
    <w:nsid w:val="00000010"/>
    <w:multiLevelType w:val="singleLevel"/>
    <w:tmpl w:val="00000010"/>
    <w:lvl w:ilvl="0" w:tentative="0">
      <w:start w:val="1"/>
      <w:numFmt w:val="bullet"/>
      <w:pStyle w:val="14"/>
      <w:lvlText w:val=""/>
      <w:lvlJc w:val="left"/>
      <w:pPr>
        <w:tabs>
          <w:tab w:val="left" w:pos="1620"/>
        </w:tabs>
        <w:ind w:left="1620" w:hanging="360"/>
      </w:pPr>
      <w:rPr>
        <w:rFonts w:hint="default" w:ascii="Wingdings" w:hAnsi="Wingdings"/>
      </w:rPr>
    </w:lvl>
  </w:abstractNum>
  <w:abstractNum w:abstractNumId="7">
    <w:nsid w:val="00000011"/>
    <w:multiLevelType w:val="multilevel"/>
    <w:tmpl w:val="00000011"/>
    <w:lvl w:ilvl="0" w:tentative="0">
      <w:start w:val="1"/>
      <w:numFmt w:val="decimal"/>
      <w:pStyle w:val="102"/>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160"/>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105"/>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6"/>
  </w:num>
  <w:num w:numId="3">
    <w:abstractNumId w:val="4"/>
  </w:num>
  <w:num w:numId="4">
    <w:abstractNumId w:val="9"/>
  </w:num>
  <w:num w:numId="5">
    <w:abstractNumId w:val="1"/>
  </w:num>
  <w:num w:numId="6">
    <w:abstractNumId w:val="7"/>
  </w:num>
  <w:num w:numId="7">
    <w:abstractNumId w:val="11"/>
  </w:num>
  <w:num w:numId="8">
    <w:abstractNumId w:val="2"/>
  </w:num>
  <w:num w:numId="9">
    <w:abstractNumId w:val="3"/>
  </w:num>
  <w:num w:numId="10">
    <w:abstractNumId w:val="5"/>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wNzk4NGViYmM3MTQ1NGE0ZDhiYjRhYjdjZGIwYTMifQ=="/>
  </w:docVars>
  <w:rsids>
    <w:rsidRoot w:val="00172A27"/>
    <w:rsid w:val="000014C5"/>
    <w:rsid w:val="00002AE4"/>
    <w:rsid w:val="00003626"/>
    <w:rsid w:val="000040DE"/>
    <w:rsid w:val="000070F0"/>
    <w:rsid w:val="000075E8"/>
    <w:rsid w:val="00011B4B"/>
    <w:rsid w:val="00016B79"/>
    <w:rsid w:val="00017816"/>
    <w:rsid w:val="00032ACA"/>
    <w:rsid w:val="0003632F"/>
    <w:rsid w:val="00043835"/>
    <w:rsid w:val="0004739C"/>
    <w:rsid w:val="00051E02"/>
    <w:rsid w:val="000523C9"/>
    <w:rsid w:val="0005298B"/>
    <w:rsid w:val="0005417C"/>
    <w:rsid w:val="000576E1"/>
    <w:rsid w:val="00061A7C"/>
    <w:rsid w:val="00063981"/>
    <w:rsid w:val="00074C38"/>
    <w:rsid w:val="000816AD"/>
    <w:rsid w:val="00082CC1"/>
    <w:rsid w:val="00090C5A"/>
    <w:rsid w:val="00091B1C"/>
    <w:rsid w:val="00091D22"/>
    <w:rsid w:val="000952E7"/>
    <w:rsid w:val="000A164E"/>
    <w:rsid w:val="000A3057"/>
    <w:rsid w:val="000B1068"/>
    <w:rsid w:val="000B3002"/>
    <w:rsid w:val="000B42F4"/>
    <w:rsid w:val="000B7377"/>
    <w:rsid w:val="000B7F54"/>
    <w:rsid w:val="000C08C1"/>
    <w:rsid w:val="000C0FB5"/>
    <w:rsid w:val="000C1E0E"/>
    <w:rsid w:val="000C20E6"/>
    <w:rsid w:val="000C2C03"/>
    <w:rsid w:val="000C6D89"/>
    <w:rsid w:val="000C73E1"/>
    <w:rsid w:val="000D776F"/>
    <w:rsid w:val="000E01C9"/>
    <w:rsid w:val="000E0DD7"/>
    <w:rsid w:val="000E3259"/>
    <w:rsid w:val="000E4835"/>
    <w:rsid w:val="000E5AB0"/>
    <w:rsid w:val="000F302A"/>
    <w:rsid w:val="000F3D5B"/>
    <w:rsid w:val="000F64D7"/>
    <w:rsid w:val="000F7DBF"/>
    <w:rsid w:val="0010014A"/>
    <w:rsid w:val="00100639"/>
    <w:rsid w:val="0010088E"/>
    <w:rsid w:val="001028FD"/>
    <w:rsid w:val="00105638"/>
    <w:rsid w:val="0010716D"/>
    <w:rsid w:val="00107FAF"/>
    <w:rsid w:val="001140DC"/>
    <w:rsid w:val="00114CFE"/>
    <w:rsid w:val="00115337"/>
    <w:rsid w:val="001166B8"/>
    <w:rsid w:val="0011683E"/>
    <w:rsid w:val="00116856"/>
    <w:rsid w:val="00116C42"/>
    <w:rsid w:val="0011780F"/>
    <w:rsid w:val="00117B26"/>
    <w:rsid w:val="00120259"/>
    <w:rsid w:val="00122F9D"/>
    <w:rsid w:val="001264A8"/>
    <w:rsid w:val="001266BF"/>
    <w:rsid w:val="00133D16"/>
    <w:rsid w:val="00134037"/>
    <w:rsid w:val="001342AC"/>
    <w:rsid w:val="00135BAE"/>
    <w:rsid w:val="00145224"/>
    <w:rsid w:val="00146EC3"/>
    <w:rsid w:val="00147FB4"/>
    <w:rsid w:val="0015011C"/>
    <w:rsid w:val="00150204"/>
    <w:rsid w:val="0015033B"/>
    <w:rsid w:val="00150429"/>
    <w:rsid w:val="001523C5"/>
    <w:rsid w:val="00152B00"/>
    <w:rsid w:val="00152CAD"/>
    <w:rsid w:val="00153556"/>
    <w:rsid w:val="00153818"/>
    <w:rsid w:val="00160C79"/>
    <w:rsid w:val="0016265A"/>
    <w:rsid w:val="00171E05"/>
    <w:rsid w:val="00172A27"/>
    <w:rsid w:val="001800AD"/>
    <w:rsid w:val="00180ACB"/>
    <w:rsid w:val="00181A6C"/>
    <w:rsid w:val="00183B60"/>
    <w:rsid w:val="00186623"/>
    <w:rsid w:val="001879FD"/>
    <w:rsid w:val="0019571D"/>
    <w:rsid w:val="001963A2"/>
    <w:rsid w:val="00196465"/>
    <w:rsid w:val="001A1B93"/>
    <w:rsid w:val="001A64A1"/>
    <w:rsid w:val="001A6DCC"/>
    <w:rsid w:val="001A773E"/>
    <w:rsid w:val="001B0396"/>
    <w:rsid w:val="001B1400"/>
    <w:rsid w:val="001B3DBD"/>
    <w:rsid w:val="001B4377"/>
    <w:rsid w:val="001D0DF7"/>
    <w:rsid w:val="001D1038"/>
    <w:rsid w:val="001D2321"/>
    <w:rsid w:val="001D2DCD"/>
    <w:rsid w:val="001D5055"/>
    <w:rsid w:val="001D630C"/>
    <w:rsid w:val="001E1467"/>
    <w:rsid w:val="001E1A2F"/>
    <w:rsid w:val="001E201B"/>
    <w:rsid w:val="001E5CAC"/>
    <w:rsid w:val="001E64A9"/>
    <w:rsid w:val="001E6841"/>
    <w:rsid w:val="001E725F"/>
    <w:rsid w:val="001F1AF5"/>
    <w:rsid w:val="001F1AF7"/>
    <w:rsid w:val="001F30CE"/>
    <w:rsid w:val="001F4964"/>
    <w:rsid w:val="001F4A96"/>
    <w:rsid w:val="001F7063"/>
    <w:rsid w:val="00202B04"/>
    <w:rsid w:val="00203052"/>
    <w:rsid w:val="00204936"/>
    <w:rsid w:val="002049D5"/>
    <w:rsid w:val="00206AE4"/>
    <w:rsid w:val="002100EE"/>
    <w:rsid w:val="00210168"/>
    <w:rsid w:val="00210ED7"/>
    <w:rsid w:val="00212A06"/>
    <w:rsid w:val="00214E7A"/>
    <w:rsid w:val="00215DEE"/>
    <w:rsid w:val="0021618E"/>
    <w:rsid w:val="0021704D"/>
    <w:rsid w:val="002216C7"/>
    <w:rsid w:val="00222097"/>
    <w:rsid w:val="002227DB"/>
    <w:rsid w:val="00227202"/>
    <w:rsid w:val="00227377"/>
    <w:rsid w:val="00227851"/>
    <w:rsid w:val="002339D3"/>
    <w:rsid w:val="00234257"/>
    <w:rsid w:val="002348E0"/>
    <w:rsid w:val="00254E1A"/>
    <w:rsid w:val="00262555"/>
    <w:rsid w:val="002643C1"/>
    <w:rsid w:val="00265203"/>
    <w:rsid w:val="0026643D"/>
    <w:rsid w:val="00270223"/>
    <w:rsid w:val="0027199E"/>
    <w:rsid w:val="00271D47"/>
    <w:rsid w:val="002721EA"/>
    <w:rsid w:val="002752BA"/>
    <w:rsid w:val="00280E8A"/>
    <w:rsid w:val="00285164"/>
    <w:rsid w:val="002855B0"/>
    <w:rsid w:val="00286959"/>
    <w:rsid w:val="00295FA5"/>
    <w:rsid w:val="00297A6F"/>
    <w:rsid w:val="002A4956"/>
    <w:rsid w:val="002A6710"/>
    <w:rsid w:val="002A7778"/>
    <w:rsid w:val="002B1FDA"/>
    <w:rsid w:val="002B2ACF"/>
    <w:rsid w:val="002B578B"/>
    <w:rsid w:val="002B5ECC"/>
    <w:rsid w:val="002B7904"/>
    <w:rsid w:val="002C2507"/>
    <w:rsid w:val="002C2E6E"/>
    <w:rsid w:val="002C3A3D"/>
    <w:rsid w:val="002C7927"/>
    <w:rsid w:val="002D41FF"/>
    <w:rsid w:val="002D608F"/>
    <w:rsid w:val="002D7053"/>
    <w:rsid w:val="002D7208"/>
    <w:rsid w:val="002D7725"/>
    <w:rsid w:val="002E0CC2"/>
    <w:rsid w:val="002E3527"/>
    <w:rsid w:val="002E3824"/>
    <w:rsid w:val="002E78F7"/>
    <w:rsid w:val="002F031F"/>
    <w:rsid w:val="002F0ED3"/>
    <w:rsid w:val="002F3278"/>
    <w:rsid w:val="002F3DE3"/>
    <w:rsid w:val="002F632E"/>
    <w:rsid w:val="003021BC"/>
    <w:rsid w:val="0030440F"/>
    <w:rsid w:val="00310AF9"/>
    <w:rsid w:val="00310DAA"/>
    <w:rsid w:val="0031465E"/>
    <w:rsid w:val="00315742"/>
    <w:rsid w:val="003163B3"/>
    <w:rsid w:val="003200C6"/>
    <w:rsid w:val="003213E8"/>
    <w:rsid w:val="00322A7A"/>
    <w:rsid w:val="00326C5B"/>
    <w:rsid w:val="003336F0"/>
    <w:rsid w:val="0033663D"/>
    <w:rsid w:val="003366D9"/>
    <w:rsid w:val="00340777"/>
    <w:rsid w:val="00341D8A"/>
    <w:rsid w:val="00341DEB"/>
    <w:rsid w:val="00346A3D"/>
    <w:rsid w:val="00350510"/>
    <w:rsid w:val="00350C20"/>
    <w:rsid w:val="003548FA"/>
    <w:rsid w:val="00355643"/>
    <w:rsid w:val="00355A74"/>
    <w:rsid w:val="0035764D"/>
    <w:rsid w:val="00361427"/>
    <w:rsid w:val="00363702"/>
    <w:rsid w:val="0036458B"/>
    <w:rsid w:val="003703E8"/>
    <w:rsid w:val="00371D2F"/>
    <w:rsid w:val="00373122"/>
    <w:rsid w:val="0037612E"/>
    <w:rsid w:val="0038033A"/>
    <w:rsid w:val="003816ED"/>
    <w:rsid w:val="003840E9"/>
    <w:rsid w:val="00384161"/>
    <w:rsid w:val="00387610"/>
    <w:rsid w:val="0039432A"/>
    <w:rsid w:val="003953EA"/>
    <w:rsid w:val="00395C2F"/>
    <w:rsid w:val="003973D3"/>
    <w:rsid w:val="00397F89"/>
    <w:rsid w:val="003A0495"/>
    <w:rsid w:val="003A0892"/>
    <w:rsid w:val="003A3162"/>
    <w:rsid w:val="003A422B"/>
    <w:rsid w:val="003A449E"/>
    <w:rsid w:val="003A71F3"/>
    <w:rsid w:val="003B19F5"/>
    <w:rsid w:val="003D0E0A"/>
    <w:rsid w:val="003D3B22"/>
    <w:rsid w:val="003D7B3D"/>
    <w:rsid w:val="003E0348"/>
    <w:rsid w:val="003E3FB8"/>
    <w:rsid w:val="003F3DB1"/>
    <w:rsid w:val="003F451E"/>
    <w:rsid w:val="003F4939"/>
    <w:rsid w:val="003F626F"/>
    <w:rsid w:val="003F6794"/>
    <w:rsid w:val="00402B32"/>
    <w:rsid w:val="0040519F"/>
    <w:rsid w:val="0040781E"/>
    <w:rsid w:val="00410C93"/>
    <w:rsid w:val="004115FB"/>
    <w:rsid w:val="00411B4A"/>
    <w:rsid w:val="004134DD"/>
    <w:rsid w:val="00417E99"/>
    <w:rsid w:val="00421507"/>
    <w:rsid w:val="00424D02"/>
    <w:rsid w:val="0042525A"/>
    <w:rsid w:val="0042733C"/>
    <w:rsid w:val="004330FB"/>
    <w:rsid w:val="004354F1"/>
    <w:rsid w:val="0044185A"/>
    <w:rsid w:val="0044193A"/>
    <w:rsid w:val="00453B8F"/>
    <w:rsid w:val="004556B7"/>
    <w:rsid w:val="00460489"/>
    <w:rsid w:val="004608C7"/>
    <w:rsid w:val="00462878"/>
    <w:rsid w:val="00465B7A"/>
    <w:rsid w:val="00471121"/>
    <w:rsid w:val="00472AA2"/>
    <w:rsid w:val="00473B39"/>
    <w:rsid w:val="00474175"/>
    <w:rsid w:val="00481309"/>
    <w:rsid w:val="004928A2"/>
    <w:rsid w:val="00494610"/>
    <w:rsid w:val="004953EC"/>
    <w:rsid w:val="00497ADD"/>
    <w:rsid w:val="004A0D29"/>
    <w:rsid w:val="004A0DE1"/>
    <w:rsid w:val="004A2410"/>
    <w:rsid w:val="004A27AC"/>
    <w:rsid w:val="004A3995"/>
    <w:rsid w:val="004B3AB3"/>
    <w:rsid w:val="004C1DD0"/>
    <w:rsid w:val="004C2685"/>
    <w:rsid w:val="004C64E4"/>
    <w:rsid w:val="004C6673"/>
    <w:rsid w:val="004D2334"/>
    <w:rsid w:val="004D433D"/>
    <w:rsid w:val="004D4410"/>
    <w:rsid w:val="004E156F"/>
    <w:rsid w:val="004E2F88"/>
    <w:rsid w:val="004E550E"/>
    <w:rsid w:val="004E55DB"/>
    <w:rsid w:val="004E67C6"/>
    <w:rsid w:val="004F5959"/>
    <w:rsid w:val="004F670C"/>
    <w:rsid w:val="00502B2F"/>
    <w:rsid w:val="00510A85"/>
    <w:rsid w:val="00512D00"/>
    <w:rsid w:val="00512D44"/>
    <w:rsid w:val="00514179"/>
    <w:rsid w:val="00516243"/>
    <w:rsid w:val="005164D4"/>
    <w:rsid w:val="0052577A"/>
    <w:rsid w:val="00532319"/>
    <w:rsid w:val="005406A0"/>
    <w:rsid w:val="00540E03"/>
    <w:rsid w:val="00541D5F"/>
    <w:rsid w:val="00544BEA"/>
    <w:rsid w:val="005460D5"/>
    <w:rsid w:val="00553CF0"/>
    <w:rsid w:val="00557C75"/>
    <w:rsid w:val="00566A85"/>
    <w:rsid w:val="00570C78"/>
    <w:rsid w:val="00573AE3"/>
    <w:rsid w:val="00581EF9"/>
    <w:rsid w:val="00583690"/>
    <w:rsid w:val="005902D9"/>
    <w:rsid w:val="0059075F"/>
    <w:rsid w:val="00596AB7"/>
    <w:rsid w:val="005A1B5C"/>
    <w:rsid w:val="005A1EA7"/>
    <w:rsid w:val="005A6A12"/>
    <w:rsid w:val="005B0724"/>
    <w:rsid w:val="005B1E46"/>
    <w:rsid w:val="005B5AA4"/>
    <w:rsid w:val="005C3F4B"/>
    <w:rsid w:val="005C42AC"/>
    <w:rsid w:val="005C4F84"/>
    <w:rsid w:val="005D2EC6"/>
    <w:rsid w:val="005D37D0"/>
    <w:rsid w:val="005D41E8"/>
    <w:rsid w:val="005D703E"/>
    <w:rsid w:val="005E35E9"/>
    <w:rsid w:val="005E5525"/>
    <w:rsid w:val="005F38BB"/>
    <w:rsid w:val="005F7895"/>
    <w:rsid w:val="0060003E"/>
    <w:rsid w:val="00600E8B"/>
    <w:rsid w:val="00602BBE"/>
    <w:rsid w:val="0060315D"/>
    <w:rsid w:val="00613410"/>
    <w:rsid w:val="00617986"/>
    <w:rsid w:val="006256CA"/>
    <w:rsid w:val="00627729"/>
    <w:rsid w:val="00627F21"/>
    <w:rsid w:val="0063025A"/>
    <w:rsid w:val="006307F2"/>
    <w:rsid w:val="00631E4D"/>
    <w:rsid w:val="0064583B"/>
    <w:rsid w:val="006468B8"/>
    <w:rsid w:val="00651127"/>
    <w:rsid w:val="0065190C"/>
    <w:rsid w:val="006542F1"/>
    <w:rsid w:val="00654A48"/>
    <w:rsid w:val="0065651B"/>
    <w:rsid w:val="00664607"/>
    <w:rsid w:val="00665941"/>
    <w:rsid w:val="0066755F"/>
    <w:rsid w:val="00670089"/>
    <w:rsid w:val="00670C89"/>
    <w:rsid w:val="00671233"/>
    <w:rsid w:val="006763DC"/>
    <w:rsid w:val="00680AE4"/>
    <w:rsid w:val="00682205"/>
    <w:rsid w:val="006822B0"/>
    <w:rsid w:val="00684E51"/>
    <w:rsid w:val="0068793C"/>
    <w:rsid w:val="00694288"/>
    <w:rsid w:val="00694F91"/>
    <w:rsid w:val="00695F49"/>
    <w:rsid w:val="006A100B"/>
    <w:rsid w:val="006A143A"/>
    <w:rsid w:val="006A3285"/>
    <w:rsid w:val="006A4C56"/>
    <w:rsid w:val="006B0567"/>
    <w:rsid w:val="006B4535"/>
    <w:rsid w:val="006B72DE"/>
    <w:rsid w:val="006B75CB"/>
    <w:rsid w:val="006C5FC1"/>
    <w:rsid w:val="006D44E1"/>
    <w:rsid w:val="006D6350"/>
    <w:rsid w:val="006D6662"/>
    <w:rsid w:val="006E21FA"/>
    <w:rsid w:val="006E477D"/>
    <w:rsid w:val="006E6D5F"/>
    <w:rsid w:val="006F0FB7"/>
    <w:rsid w:val="006F5925"/>
    <w:rsid w:val="006F5E40"/>
    <w:rsid w:val="006F6E4A"/>
    <w:rsid w:val="00704E5D"/>
    <w:rsid w:val="00705739"/>
    <w:rsid w:val="007073D6"/>
    <w:rsid w:val="00710AE5"/>
    <w:rsid w:val="00712E83"/>
    <w:rsid w:val="00712FF5"/>
    <w:rsid w:val="0071464D"/>
    <w:rsid w:val="00714BF1"/>
    <w:rsid w:val="00715FB5"/>
    <w:rsid w:val="00716C50"/>
    <w:rsid w:val="007171A6"/>
    <w:rsid w:val="0071799D"/>
    <w:rsid w:val="00726088"/>
    <w:rsid w:val="00730B6A"/>
    <w:rsid w:val="00731B91"/>
    <w:rsid w:val="00736D88"/>
    <w:rsid w:val="00736DD2"/>
    <w:rsid w:val="00736EE0"/>
    <w:rsid w:val="00737540"/>
    <w:rsid w:val="0074681C"/>
    <w:rsid w:val="00746EC2"/>
    <w:rsid w:val="007504DE"/>
    <w:rsid w:val="00762B70"/>
    <w:rsid w:val="007636FE"/>
    <w:rsid w:val="0077408E"/>
    <w:rsid w:val="00780577"/>
    <w:rsid w:val="00781AD3"/>
    <w:rsid w:val="00781BFB"/>
    <w:rsid w:val="00786FA7"/>
    <w:rsid w:val="0079177C"/>
    <w:rsid w:val="00794382"/>
    <w:rsid w:val="007959AC"/>
    <w:rsid w:val="00796323"/>
    <w:rsid w:val="007A20E0"/>
    <w:rsid w:val="007B2204"/>
    <w:rsid w:val="007B4B60"/>
    <w:rsid w:val="007B7278"/>
    <w:rsid w:val="007C1691"/>
    <w:rsid w:val="007C6B0F"/>
    <w:rsid w:val="007D0625"/>
    <w:rsid w:val="007D7A44"/>
    <w:rsid w:val="007D7E65"/>
    <w:rsid w:val="007E19E0"/>
    <w:rsid w:val="007E517D"/>
    <w:rsid w:val="007F49CA"/>
    <w:rsid w:val="007F6769"/>
    <w:rsid w:val="008041D4"/>
    <w:rsid w:val="00806938"/>
    <w:rsid w:val="00807818"/>
    <w:rsid w:val="0081156A"/>
    <w:rsid w:val="00820A64"/>
    <w:rsid w:val="00827398"/>
    <w:rsid w:val="008275B6"/>
    <w:rsid w:val="00830904"/>
    <w:rsid w:val="0083653E"/>
    <w:rsid w:val="008369DC"/>
    <w:rsid w:val="00842974"/>
    <w:rsid w:val="00842F87"/>
    <w:rsid w:val="00843A88"/>
    <w:rsid w:val="00843D2E"/>
    <w:rsid w:val="0085550A"/>
    <w:rsid w:val="008616EF"/>
    <w:rsid w:val="00863C25"/>
    <w:rsid w:val="008641B7"/>
    <w:rsid w:val="00864D80"/>
    <w:rsid w:val="00864DC1"/>
    <w:rsid w:val="00870530"/>
    <w:rsid w:val="008705BC"/>
    <w:rsid w:val="00871999"/>
    <w:rsid w:val="00872E27"/>
    <w:rsid w:val="00875A42"/>
    <w:rsid w:val="0088192C"/>
    <w:rsid w:val="008904A8"/>
    <w:rsid w:val="00891D94"/>
    <w:rsid w:val="00896589"/>
    <w:rsid w:val="008A0CEE"/>
    <w:rsid w:val="008A19AF"/>
    <w:rsid w:val="008A20FB"/>
    <w:rsid w:val="008A4D88"/>
    <w:rsid w:val="008C1B22"/>
    <w:rsid w:val="008C4C84"/>
    <w:rsid w:val="008C510F"/>
    <w:rsid w:val="008D067F"/>
    <w:rsid w:val="008D3283"/>
    <w:rsid w:val="008E437B"/>
    <w:rsid w:val="008E4D3F"/>
    <w:rsid w:val="008E66B8"/>
    <w:rsid w:val="008F0A2E"/>
    <w:rsid w:val="008F1988"/>
    <w:rsid w:val="008F2B05"/>
    <w:rsid w:val="008F5E76"/>
    <w:rsid w:val="008F6252"/>
    <w:rsid w:val="008F7F78"/>
    <w:rsid w:val="009023F3"/>
    <w:rsid w:val="0090383C"/>
    <w:rsid w:val="00905D85"/>
    <w:rsid w:val="00912132"/>
    <w:rsid w:val="00913CAA"/>
    <w:rsid w:val="009226D2"/>
    <w:rsid w:val="00922FAD"/>
    <w:rsid w:val="00924F0A"/>
    <w:rsid w:val="00925082"/>
    <w:rsid w:val="00925726"/>
    <w:rsid w:val="00926904"/>
    <w:rsid w:val="0092708B"/>
    <w:rsid w:val="0093049D"/>
    <w:rsid w:val="00936A01"/>
    <w:rsid w:val="00937713"/>
    <w:rsid w:val="009404E7"/>
    <w:rsid w:val="009409CD"/>
    <w:rsid w:val="0094759E"/>
    <w:rsid w:val="00952C13"/>
    <w:rsid w:val="0095455D"/>
    <w:rsid w:val="00962BF1"/>
    <w:rsid w:val="00963237"/>
    <w:rsid w:val="00966820"/>
    <w:rsid w:val="00971351"/>
    <w:rsid w:val="00971E57"/>
    <w:rsid w:val="009723CF"/>
    <w:rsid w:val="00972F46"/>
    <w:rsid w:val="00973D3A"/>
    <w:rsid w:val="009741DC"/>
    <w:rsid w:val="0097652A"/>
    <w:rsid w:val="00980037"/>
    <w:rsid w:val="00983B43"/>
    <w:rsid w:val="00984742"/>
    <w:rsid w:val="0099161D"/>
    <w:rsid w:val="00991B37"/>
    <w:rsid w:val="0099352F"/>
    <w:rsid w:val="009B6208"/>
    <w:rsid w:val="009B71FF"/>
    <w:rsid w:val="009C3034"/>
    <w:rsid w:val="009C4BFF"/>
    <w:rsid w:val="009C7522"/>
    <w:rsid w:val="009D0FDD"/>
    <w:rsid w:val="009D3162"/>
    <w:rsid w:val="009D3181"/>
    <w:rsid w:val="009D7B9B"/>
    <w:rsid w:val="009E067B"/>
    <w:rsid w:val="009E717E"/>
    <w:rsid w:val="009E737D"/>
    <w:rsid w:val="009F0C15"/>
    <w:rsid w:val="009F18FA"/>
    <w:rsid w:val="00A0197B"/>
    <w:rsid w:val="00A02768"/>
    <w:rsid w:val="00A03977"/>
    <w:rsid w:val="00A06013"/>
    <w:rsid w:val="00A104A7"/>
    <w:rsid w:val="00A12904"/>
    <w:rsid w:val="00A15FBF"/>
    <w:rsid w:val="00A1616D"/>
    <w:rsid w:val="00A1783B"/>
    <w:rsid w:val="00A224AC"/>
    <w:rsid w:val="00A26FF7"/>
    <w:rsid w:val="00A27159"/>
    <w:rsid w:val="00A37A20"/>
    <w:rsid w:val="00A445DC"/>
    <w:rsid w:val="00A44BEA"/>
    <w:rsid w:val="00A47C22"/>
    <w:rsid w:val="00A55B14"/>
    <w:rsid w:val="00A5689C"/>
    <w:rsid w:val="00A569E8"/>
    <w:rsid w:val="00A57FAF"/>
    <w:rsid w:val="00A601C4"/>
    <w:rsid w:val="00A61D6E"/>
    <w:rsid w:val="00A70193"/>
    <w:rsid w:val="00A711C6"/>
    <w:rsid w:val="00A730F3"/>
    <w:rsid w:val="00A74B68"/>
    <w:rsid w:val="00A77EE1"/>
    <w:rsid w:val="00A84863"/>
    <w:rsid w:val="00A91750"/>
    <w:rsid w:val="00A95D95"/>
    <w:rsid w:val="00A977EC"/>
    <w:rsid w:val="00AA3FD1"/>
    <w:rsid w:val="00AA52DE"/>
    <w:rsid w:val="00AB11B3"/>
    <w:rsid w:val="00AB1DAF"/>
    <w:rsid w:val="00AB40EF"/>
    <w:rsid w:val="00AB43D9"/>
    <w:rsid w:val="00AB5ED3"/>
    <w:rsid w:val="00AB6B0C"/>
    <w:rsid w:val="00AB70CD"/>
    <w:rsid w:val="00AB7800"/>
    <w:rsid w:val="00AC1860"/>
    <w:rsid w:val="00AC4898"/>
    <w:rsid w:val="00AC48B3"/>
    <w:rsid w:val="00AC7893"/>
    <w:rsid w:val="00AC7AC9"/>
    <w:rsid w:val="00AD1C54"/>
    <w:rsid w:val="00AE1920"/>
    <w:rsid w:val="00AE521E"/>
    <w:rsid w:val="00AE6543"/>
    <w:rsid w:val="00AE76F8"/>
    <w:rsid w:val="00AF01B3"/>
    <w:rsid w:val="00AF0F13"/>
    <w:rsid w:val="00AF7992"/>
    <w:rsid w:val="00AF7CDD"/>
    <w:rsid w:val="00B00AB3"/>
    <w:rsid w:val="00B14C52"/>
    <w:rsid w:val="00B200AA"/>
    <w:rsid w:val="00B203A9"/>
    <w:rsid w:val="00B229A5"/>
    <w:rsid w:val="00B2488E"/>
    <w:rsid w:val="00B25EB3"/>
    <w:rsid w:val="00B42056"/>
    <w:rsid w:val="00B478C3"/>
    <w:rsid w:val="00B52715"/>
    <w:rsid w:val="00B61348"/>
    <w:rsid w:val="00B6263F"/>
    <w:rsid w:val="00B67114"/>
    <w:rsid w:val="00B678C7"/>
    <w:rsid w:val="00B70368"/>
    <w:rsid w:val="00B7097C"/>
    <w:rsid w:val="00B72BCC"/>
    <w:rsid w:val="00B75449"/>
    <w:rsid w:val="00B81284"/>
    <w:rsid w:val="00B86DA1"/>
    <w:rsid w:val="00B87401"/>
    <w:rsid w:val="00B96B1E"/>
    <w:rsid w:val="00BA527C"/>
    <w:rsid w:val="00BA5B9C"/>
    <w:rsid w:val="00BA7D51"/>
    <w:rsid w:val="00BA7F31"/>
    <w:rsid w:val="00BB4AD5"/>
    <w:rsid w:val="00BB7494"/>
    <w:rsid w:val="00BB76A5"/>
    <w:rsid w:val="00BC089B"/>
    <w:rsid w:val="00BC183F"/>
    <w:rsid w:val="00BC1C37"/>
    <w:rsid w:val="00BC2390"/>
    <w:rsid w:val="00BC775D"/>
    <w:rsid w:val="00BD0051"/>
    <w:rsid w:val="00BD2939"/>
    <w:rsid w:val="00BD5A75"/>
    <w:rsid w:val="00BD6BF7"/>
    <w:rsid w:val="00BE07A9"/>
    <w:rsid w:val="00BE1700"/>
    <w:rsid w:val="00BE2E36"/>
    <w:rsid w:val="00BE4D8F"/>
    <w:rsid w:val="00BF0A3E"/>
    <w:rsid w:val="00BF26AC"/>
    <w:rsid w:val="00BF46A7"/>
    <w:rsid w:val="00BF5230"/>
    <w:rsid w:val="00BF6DA8"/>
    <w:rsid w:val="00C00289"/>
    <w:rsid w:val="00C1090C"/>
    <w:rsid w:val="00C201FC"/>
    <w:rsid w:val="00C240C8"/>
    <w:rsid w:val="00C249AF"/>
    <w:rsid w:val="00C26513"/>
    <w:rsid w:val="00C328C9"/>
    <w:rsid w:val="00C339ED"/>
    <w:rsid w:val="00C35BA8"/>
    <w:rsid w:val="00C37F72"/>
    <w:rsid w:val="00C40246"/>
    <w:rsid w:val="00C420C1"/>
    <w:rsid w:val="00C43FEE"/>
    <w:rsid w:val="00C45963"/>
    <w:rsid w:val="00C472B8"/>
    <w:rsid w:val="00C50723"/>
    <w:rsid w:val="00C51E99"/>
    <w:rsid w:val="00C529FD"/>
    <w:rsid w:val="00C53124"/>
    <w:rsid w:val="00C538A9"/>
    <w:rsid w:val="00C53B2E"/>
    <w:rsid w:val="00C6160A"/>
    <w:rsid w:val="00C62B51"/>
    <w:rsid w:val="00C65711"/>
    <w:rsid w:val="00C66460"/>
    <w:rsid w:val="00C76ECD"/>
    <w:rsid w:val="00C8221C"/>
    <w:rsid w:val="00C84B63"/>
    <w:rsid w:val="00C84E04"/>
    <w:rsid w:val="00C86DC6"/>
    <w:rsid w:val="00C910BE"/>
    <w:rsid w:val="00C922BE"/>
    <w:rsid w:val="00CA10F9"/>
    <w:rsid w:val="00CA14F4"/>
    <w:rsid w:val="00CA583F"/>
    <w:rsid w:val="00CA5844"/>
    <w:rsid w:val="00CA7415"/>
    <w:rsid w:val="00CB265C"/>
    <w:rsid w:val="00CB2BDD"/>
    <w:rsid w:val="00CB32BC"/>
    <w:rsid w:val="00CB4540"/>
    <w:rsid w:val="00CB4951"/>
    <w:rsid w:val="00CB747F"/>
    <w:rsid w:val="00CB7A07"/>
    <w:rsid w:val="00CC59BB"/>
    <w:rsid w:val="00CD1B93"/>
    <w:rsid w:val="00CD3BD4"/>
    <w:rsid w:val="00CD3CC8"/>
    <w:rsid w:val="00CD4915"/>
    <w:rsid w:val="00CD60BD"/>
    <w:rsid w:val="00CD635D"/>
    <w:rsid w:val="00CD6DEE"/>
    <w:rsid w:val="00CD7C5B"/>
    <w:rsid w:val="00CD7CED"/>
    <w:rsid w:val="00CE04C7"/>
    <w:rsid w:val="00CE2AC9"/>
    <w:rsid w:val="00CE2AFE"/>
    <w:rsid w:val="00CE485E"/>
    <w:rsid w:val="00CE7B14"/>
    <w:rsid w:val="00CF156B"/>
    <w:rsid w:val="00CF1E02"/>
    <w:rsid w:val="00CF4BD6"/>
    <w:rsid w:val="00CF597A"/>
    <w:rsid w:val="00D00228"/>
    <w:rsid w:val="00D00DA0"/>
    <w:rsid w:val="00D0103F"/>
    <w:rsid w:val="00D015BD"/>
    <w:rsid w:val="00D03E34"/>
    <w:rsid w:val="00D05BAA"/>
    <w:rsid w:val="00D07F26"/>
    <w:rsid w:val="00D11A09"/>
    <w:rsid w:val="00D11BCD"/>
    <w:rsid w:val="00D13B7A"/>
    <w:rsid w:val="00D17FD1"/>
    <w:rsid w:val="00D22C4B"/>
    <w:rsid w:val="00D230C7"/>
    <w:rsid w:val="00D23583"/>
    <w:rsid w:val="00D23E7D"/>
    <w:rsid w:val="00D2405F"/>
    <w:rsid w:val="00D26C71"/>
    <w:rsid w:val="00D30C7F"/>
    <w:rsid w:val="00D32DFB"/>
    <w:rsid w:val="00D41421"/>
    <w:rsid w:val="00D41998"/>
    <w:rsid w:val="00D41BA9"/>
    <w:rsid w:val="00D44059"/>
    <w:rsid w:val="00D4511A"/>
    <w:rsid w:val="00D51813"/>
    <w:rsid w:val="00D52376"/>
    <w:rsid w:val="00D53EE6"/>
    <w:rsid w:val="00D612C2"/>
    <w:rsid w:val="00D64D38"/>
    <w:rsid w:val="00D745E0"/>
    <w:rsid w:val="00D76AA3"/>
    <w:rsid w:val="00D80604"/>
    <w:rsid w:val="00D86529"/>
    <w:rsid w:val="00D86A86"/>
    <w:rsid w:val="00D8791E"/>
    <w:rsid w:val="00D92438"/>
    <w:rsid w:val="00DA0040"/>
    <w:rsid w:val="00DA086B"/>
    <w:rsid w:val="00DA1D7A"/>
    <w:rsid w:val="00DA5E0A"/>
    <w:rsid w:val="00DA6834"/>
    <w:rsid w:val="00DA7145"/>
    <w:rsid w:val="00DA78D8"/>
    <w:rsid w:val="00DA7E05"/>
    <w:rsid w:val="00DB4794"/>
    <w:rsid w:val="00DB5C3E"/>
    <w:rsid w:val="00DB628E"/>
    <w:rsid w:val="00DC4070"/>
    <w:rsid w:val="00DE1DE6"/>
    <w:rsid w:val="00DE1E39"/>
    <w:rsid w:val="00DE513D"/>
    <w:rsid w:val="00DF235C"/>
    <w:rsid w:val="00DF426D"/>
    <w:rsid w:val="00DF47D6"/>
    <w:rsid w:val="00DF4D5A"/>
    <w:rsid w:val="00DF5425"/>
    <w:rsid w:val="00DF782C"/>
    <w:rsid w:val="00E030A0"/>
    <w:rsid w:val="00E04F16"/>
    <w:rsid w:val="00E075A1"/>
    <w:rsid w:val="00E0797A"/>
    <w:rsid w:val="00E079C5"/>
    <w:rsid w:val="00E11D5D"/>
    <w:rsid w:val="00E124E3"/>
    <w:rsid w:val="00E12F81"/>
    <w:rsid w:val="00E14812"/>
    <w:rsid w:val="00E15231"/>
    <w:rsid w:val="00E15DDE"/>
    <w:rsid w:val="00E17B19"/>
    <w:rsid w:val="00E2339E"/>
    <w:rsid w:val="00E300BB"/>
    <w:rsid w:val="00E31D0A"/>
    <w:rsid w:val="00E3245B"/>
    <w:rsid w:val="00E32DCD"/>
    <w:rsid w:val="00E32DF0"/>
    <w:rsid w:val="00E3707B"/>
    <w:rsid w:val="00E50685"/>
    <w:rsid w:val="00E57F6B"/>
    <w:rsid w:val="00E609CE"/>
    <w:rsid w:val="00E6234F"/>
    <w:rsid w:val="00E67AC7"/>
    <w:rsid w:val="00E7134F"/>
    <w:rsid w:val="00E7342C"/>
    <w:rsid w:val="00E73675"/>
    <w:rsid w:val="00E736E9"/>
    <w:rsid w:val="00E76363"/>
    <w:rsid w:val="00E90BE3"/>
    <w:rsid w:val="00E91374"/>
    <w:rsid w:val="00E91D81"/>
    <w:rsid w:val="00E92BC2"/>
    <w:rsid w:val="00EA010E"/>
    <w:rsid w:val="00EA28AB"/>
    <w:rsid w:val="00EA6FBF"/>
    <w:rsid w:val="00EB1E33"/>
    <w:rsid w:val="00EB4DA6"/>
    <w:rsid w:val="00EB7B0A"/>
    <w:rsid w:val="00EC0881"/>
    <w:rsid w:val="00EC74F9"/>
    <w:rsid w:val="00ED13DE"/>
    <w:rsid w:val="00ED1996"/>
    <w:rsid w:val="00ED2843"/>
    <w:rsid w:val="00ED2F55"/>
    <w:rsid w:val="00ED5ED8"/>
    <w:rsid w:val="00EE0C95"/>
    <w:rsid w:val="00EE3F0F"/>
    <w:rsid w:val="00EE553A"/>
    <w:rsid w:val="00EF0199"/>
    <w:rsid w:val="00F0263C"/>
    <w:rsid w:val="00F0402A"/>
    <w:rsid w:val="00F07266"/>
    <w:rsid w:val="00F16313"/>
    <w:rsid w:val="00F1700E"/>
    <w:rsid w:val="00F20820"/>
    <w:rsid w:val="00F20FF1"/>
    <w:rsid w:val="00F24317"/>
    <w:rsid w:val="00F27AC7"/>
    <w:rsid w:val="00F32641"/>
    <w:rsid w:val="00F34974"/>
    <w:rsid w:val="00F35457"/>
    <w:rsid w:val="00F3595B"/>
    <w:rsid w:val="00F367F3"/>
    <w:rsid w:val="00F36A26"/>
    <w:rsid w:val="00F41F54"/>
    <w:rsid w:val="00F426A6"/>
    <w:rsid w:val="00F429FD"/>
    <w:rsid w:val="00F4623C"/>
    <w:rsid w:val="00F46AD7"/>
    <w:rsid w:val="00F56399"/>
    <w:rsid w:val="00F606BB"/>
    <w:rsid w:val="00F70113"/>
    <w:rsid w:val="00F746E3"/>
    <w:rsid w:val="00F76C17"/>
    <w:rsid w:val="00F7709C"/>
    <w:rsid w:val="00F7750A"/>
    <w:rsid w:val="00F80006"/>
    <w:rsid w:val="00F80084"/>
    <w:rsid w:val="00F95676"/>
    <w:rsid w:val="00F96401"/>
    <w:rsid w:val="00F9690B"/>
    <w:rsid w:val="00FA3F8B"/>
    <w:rsid w:val="00FA56FF"/>
    <w:rsid w:val="00FA767D"/>
    <w:rsid w:val="00FB693B"/>
    <w:rsid w:val="00FC047C"/>
    <w:rsid w:val="00FC3C96"/>
    <w:rsid w:val="00FD2470"/>
    <w:rsid w:val="00FD5823"/>
    <w:rsid w:val="00FD7BE0"/>
    <w:rsid w:val="00FE1C27"/>
    <w:rsid w:val="00FE326F"/>
    <w:rsid w:val="00FE5C31"/>
    <w:rsid w:val="00FF0F20"/>
    <w:rsid w:val="00FF1B0E"/>
    <w:rsid w:val="00FF268A"/>
    <w:rsid w:val="00FF748B"/>
    <w:rsid w:val="01194375"/>
    <w:rsid w:val="016245C6"/>
    <w:rsid w:val="01AD5765"/>
    <w:rsid w:val="0209408C"/>
    <w:rsid w:val="02817D27"/>
    <w:rsid w:val="030458BC"/>
    <w:rsid w:val="03226C9E"/>
    <w:rsid w:val="058F525E"/>
    <w:rsid w:val="06BC2051"/>
    <w:rsid w:val="077F2D64"/>
    <w:rsid w:val="08774E5E"/>
    <w:rsid w:val="08C47915"/>
    <w:rsid w:val="099721E3"/>
    <w:rsid w:val="09B239BD"/>
    <w:rsid w:val="09D31940"/>
    <w:rsid w:val="0A4F7370"/>
    <w:rsid w:val="0B666A61"/>
    <w:rsid w:val="0C6811F5"/>
    <w:rsid w:val="0CB258D0"/>
    <w:rsid w:val="0CD02D66"/>
    <w:rsid w:val="0D2B0757"/>
    <w:rsid w:val="0F1802A8"/>
    <w:rsid w:val="10BB0C54"/>
    <w:rsid w:val="10E70D21"/>
    <w:rsid w:val="11604FDF"/>
    <w:rsid w:val="11B879CD"/>
    <w:rsid w:val="11BA012C"/>
    <w:rsid w:val="11CA5A3F"/>
    <w:rsid w:val="133D2EA1"/>
    <w:rsid w:val="13815B79"/>
    <w:rsid w:val="14314D06"/>
    <w:rsid w:val="147A5E14"/>
    <w:rsid w:val="14C878A5"/>
    <w:rsid w:val="1508348E"/>
    <w:rsid w:val="15455939"/>
    <w:rsid w:val="154A4DA1"/>
    <w:rsid w:val="166107AE"/>
    <w:rsid w:val="16FD1CED"/>
    <w:rsid w:val="17757A5A"/>
    <w:rsid w:val="17A1211B"/>
    <w:rsid w:val="17D0163E"/>
    <w:rsid w:val="17D071A5"/>
    <w:rsid w:val="17FD40DE"/>
    <w:rsid w:val="180312CA"/>
    <w:rsid w:val="18DD746E"/>
    <w:rsid w:val="18E727CD"/>
    <w:rsid w:val="18ED7A84"/>
    <w:rsid w:val="19550115"/>
    <w:rsid w:val="1A800543"/>
    <w:rsid w:val="1B6202FA"/>
    <w:rsid w:val="1C2D7CD2"/>
    <w:rsid w:val="1C6B38EC"/>
    <w:rsid w:val="1C8675BF"/>
    <w:rsid w:val="1D292961"/>
    <w:rsid w:val="1DCF22FC"/>
    <w:rsid w:val="1F413615"/>
    <w:rsid w:val="1F586B05"/>
    <w:rsid w:val="1F7F5EEC"/>
    <w:rsid w:val="20046ACE"/>
    <w:rsid w:val="20E81346"/>
    <w:rsid w:val="21147CDB"/>
    <w:rsid w:val="21552D0E"/>
    <w:rsid w:val="21864056"/>
    <w:rsid w:val="220D61EA"/>
    <w:rsid w:val="22392531"/>
    <w:rsid w:val="225E1089"/>
    <w:rsid w:val="22753F84"/>
    <w:rsid w:val="22D35FD4"/>
    <w:rsid w:val="230E7092"/>
    <w:rsid w:val="234E71B1"/>
    <w:rsid w:val="235254FC"/>
    <w:rsid w:val="23741266"/>
    <w:rsid w:val="23AD603E"/>
    <w:rsid w:val="250D45D9"/>
    <w:rsid w:val="25B54415"/>
    <w:rsid w:val="26714DFE"/>
    <w:rsid w:val="29235F5A"/>
    <w:rsid w:val="29B91531"/>
    <w:rsid w:val="2A263B34"/>
    <w:rsid w:val="2A81536B"/>
    <w:rsid w:val="2AA01F44"/>
    <w:rsid w:val="2AAB0716"/>
    <w:rsid w:val="2B060108"/>
    <w:rsid w:val="2B940F71"/>
    <w:rsid w:val="2BF37A45"/>
    <w:rsid w:val="2ECD332E"/>
    <w:rsid w:val="2EF36113"/>
    <w:rsid w:val="2FB50A1F"/>
    <w:rsid w:val="2FEB7E18"/>
    <w:rsid w:val="2FF73F5B"/>
    <w:rsid w:val="309C7C5E"/>
    <w:rsid w:val="30B26121"/>
    <w:rsid w:val="30BB1D5E"/>
    <w:rsid w:val="31440D43"/>
    <w:rsid w:val="31563B99"/>
    <w:rsid w:val="322A618B"/>
    <w:rsid w:val="32757835"/>
    <w:rsid w:val="327D0E91"/>
    <w:rsid w:val="3294520B"/>
    <w:rsid w:val="337A1509"/>
    <w:rsid w:val="3647730B"/>
    <w:rsid w:val="36AB673F"/>
    <w:rsid w:val="37136916"/>
    <w:rsid w:val="37F3756C"/>
    <w:rsid w:val="38053C8E"/>
    <w:rsid w:val="3818661E"/>
    <w:rsid w:val="395649EE"/>
    <w:rsid w:val="3BA83F70"/>
    <w:rsid w:val="3C11529C"/>
    <w:rsid w:val="3CBF5A3B"/>
    <w:rsid w:val="3CD27F6B"/>
    <w:rsid w:val="3D9F2971"/>
    <w:rsid w:val="3DFF4D29"/>
    <w:rsid w:val="3E3839DE"/>
    <w:rsid w:val="3F980047"/>
    <w:rsid w:val="3FED268A"/>
    <w:rsid w:val="401C35B7"/>
    <w:rsid w:val="406334F2"/>
    <w:rsid w:val="4171348E"/>
    <w:rsid w:val="427C658F"/>
    <w:rsid w:val="435C0454"/>
    <w:rsid w:val="437614F2"/>
    <w:rsid w:val="439A26DB"/>
    <w:rsid w:val="452C7897"/>
    <w:rsid w:val="457B0D80"/>
    <w:rsid w:val="47546D12"/>
    <w:rsid w:val="47D03702"/>
    <w:rsid w:val="484D4D2C"/>
    <w:rsid w:val="48A30A8C"/>
    <w:rsid w:val="48B545A9"/>
    <w:rsid w:val="497B7CB3"/>
    <w:rsid w:val="4A51781F"/>
    <w:rsid w:val="4A770AE2"/>
    <w:rsid w:val="4B2D12E0"/>
    <w:rsid w:val="4B7342A7"/>
    <w:rsid w:val="4B7F2937"/>
    <w:rsid w:val="4B906C07"/>
    <w:rsid w:val="4BEB6B31"/>
    <w:rsid w:val="4D0B0C3B"/>
    <w:rsid w:val="4DD157A1"/>
    <w:rsid w:val="4DD36371"/>
    <w:rsid w:val="4E416E7D"/>
    <w:rsid w:val="4E4C7C7D"/>
    <w:rsid w:val="4F196F13"/>
    <w:rsid w:val="5075461D"/>
    <w:rsid w:val="50910171"/>
    <w:rsid w:val="51121E6C"/>
    <w:rsid w:val="51B2358A"/>
    <w:rsid w:val="51D57A6A"/>
    <w:rsid w:val="526D1C09"/>
    <w:rsid w:val="52D92ACB"/>
    <w:rsid w:val="52F421A7"/>
    <w:rsid w:val="53B4776F"/>
    <w:rsid w:val="53B72D17"/>
    <w:rsid w:val="53C057E0"/>
    <w:rsid w:val="53CF48A7"/>
    <w:rsid w:val="55AE1380"/>
    <w:rsid w:val="56192DE1"/>
    <w:rsid w:val="576511D6"/>
    <w:rsid w:val="57D0303B"/>
    <w:rsid w:val="585E0E50"/>
    <w:rsid w:val="58A310F9"/>
    <w:rsid w:val="5904650A"/>
    <w:rsid w:val="59A167B7"/>
    <w:rsid w:val="5AC468CD"/>
    <w:rsid w:val="5B616BCB"/>
    <w:rsid w:val="5BF0114E"/>
    <w:rsid w:val="5BF36BC9"/>
    <w:rsid w:val="5C427C7C"/>
    <w:rsid w:val="5C600EA2"/>
    <w:rsid w:val="5C6828C2"/>
    <w:rsid w:val="5CA67F0E"/>
    <w:rsid w:val="5CEE0083"/>
    <w:rsid w:val="5F0724F7"/>
    <w:rsid w:val="5F625EF5"/>
    <w:rsid w:val="607D121B"/>
    <w:rsid w:val="60F8533B"/>
    <w:rsid w:val="61F061FA"/>
    <w:rsid w:val="62B24F6C"/>
    <w:rsid w:val="639223B3"/>
    <w:rsid w:val="642735EE"/>
    <w:rsid w:val="64C93ECA"/>
    <w:rsid w:val="65715E78"/>
    <w:rsid w:val="658D62CF"/>
    <w:rsid w:val="66423799"/>
    <w:rsid w:val="66C4797B"/>
    <w:rsid w:val="66F51DEC"/>
    <w:rsid w:val="671254FC"/>
    <w:rsid w:val="699D1709"/>
    <w:rsid w:val="6AFB010C"/>
    <w:rsid w:val="6BB64010"/>
    <w:rsid w:val="6CAC5711"/>
    <w:rsid w:val="6CFE5A50"/>
    <w:rsid w:val="6DD40813"/>
    <w:rsid w:val="6DF75765"/>
    <w:rsid w:val="6E2A648C"/>
    <w:rsid w:val="6E69725B"/>
    <w:rsid w:val="6F6D6B95"/>
    <w:rsid w:val="6F787361"/>
    <w:rsid w:val="6FE969BF"/>
    <w:rsid w:val="701A1ED4"/>
    <w:rsid w:val="70B05F0E"/>
    <w:rsid w:val="71105B0B"/>
    <w:rsid w:val="71346864"/>
    <w:rsid w:val="7203308F"/>
    <w:rsid w:val="726F7C81"/>
    <w:rsid w:val="73680E44"/>
    <w:rsid w:val="73813156"/>
    <w:rsid w:val="73DA60D9"/>
    <w:rsid w:val="74D70DF7"/>
    <w:rsid w:val="75420C25"/>
    <w:rsid w:val="757B1A81"/>
    <w:rsid w:val="75B01FF5"/>
    <w:rsid w:val="766140A5"/>
    <w:rsid w:val="76691385"/>
    <w:rsid w:val="76FD1BB0"/>
    <w:rsid w:val="77E9360B"/>
    <w:rsid w:val="789F3DA6"/>
    <w:rsid w:val="78A52377"/>
    <w:rsid w:val="79AC174F"/>
    <w:rsid w:val="7B193DEA"/>
    <w:rsid w:val="7B5817ED"/>
    <w:rsid w:val="7B5B7497"/>
    <w:rsid w:val="7B810197"/>
    <w:rsid w:val="7D6D0886"/>
    <w:rsid w:val="7DD16A88"/>
    <w:rsid w:val="7DDA593C"/>
    <w:rsid w:val="7F9D1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link w:val="67"/>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68"/>
    <w:qFormat/>
    <w:uiPriority w:val="0"/>
    <w:pPr>
      <w:keepNext/>
      <w:keepLines/>
      <w:spacing w:before="260" w:after="260" w:line="413" w:lineRule="auto"/>
      <w:outlineLvl w:val="2"/>
    </w:pPr>
    <w:rPr>
      <w:b/>
      <w:sz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numPr>
        <w:ilvl w:val="0"/>
        <w:numId w:val="2"/>
      </w:numPr>
      <w:tabs>
        <w:tab w:val="left" w:pos="1134"/>
        <w:tab w:val="clear" w:pos="1620"/>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pPr>
    <w:rPr>
      <w:rFonts w:ascii="Arial" w:hAnsi="Arial"/>
      <w:sz w:val="24"/>
    </w:rPr>
  </w:style>
  <w:style w:type="paragraph" w:styleId="19">
    <w:name w:val="annotation text"/>
    <w:basedOn w:val="1"/>
    <w:link w:val="69"/>
    <w:qFormat/>
    <w:uiPriority w:val="0"/>
    <w:pPr>
      <w:adjustRightInd w:val="0"/>
      <w:spacing w:line="360" w:lineRule="atLeast"/>
      <w:jc w:val="left"/>
      <w:textAlignment w:val="baseline"/>
    </w:pPr>
    <w:rPr>
      <w:kern w:val="0"/>
      <w:sz w:val="24"/>
    </w:rPr>
  </w:style>
  <w:style w:type="paragraph" w:styleId="20">
    <w:name w:val="Body Text 3"/>
    <w:basedOn w:val="1"/>
    <w:qFormat/>
    <w:uiPriority w:val="0"/>
    <w:pPr>
      <w:adjustRightInd w:val="0"/>
      <w:snapToGrid w:val="0"/>
      <w:spacing w:after="120" w:line="360" w:lineRule="auto"/>
    </w:pPr>
    <w:rPr>
      <w:sz w:val="16"/>
    </w:rPr>
  </w:style>
  <w:style w:type="paragraph" w:styleId="21">
    <w:name w:val="List Bullet 3"/>
    <w:basedOn w:val="1"/>
    <w:qFormat/>
    <w:uiPriority w:val="0"/>
    <w:pPr>
      <w:numPr>
        <w:ilvl w:val="0"/>
        <w:numId w:val="3"/>
      </w:numPr>
      <w:adjustRightInd w:val="0"/>
      <w:snapToGrid w:val="0"/>
      <w:spacing w:line="360" w:lineRule="auto"/>
    </w:pPr>
    <w:rPr>
      <w:sz w:val="24"/>
    </w:rPr>
  </w:style>
  <w:style w:type="paragraph" w:styleId="22">
    <w:name w:val="Body Text"/>
    <w:basedOn w:val="1"/>
    <w:next w:val="23"/>
    <w:qFormat/>
    <w:uiPriority w:val="0"/>
    <w:rPr>
      <w:rFonts w:ascii="仿宋_GB2312" w:eastAsia="仿宋_GB2312"/>
      <w:sz w:val="32"/>
    </w:rPr>
  </w:style>
  <w:style w:type="paragraph" w:styleId="23">
    <w:name w:val="Body Text Indent"/>
    <w:basedOn w:val="1"/>
    <w:link w:val="70"/>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100" w:leftChars="200" w:hanging="200" w:hangingChars="200"/>
    </w:pPr>
    <w:rPr>
      <w:sz w:val="24"/>
    </w:rPr>
  </w:style>
  <w:style w:type="paragraph" w:styleId="26">
    <w:name w:val="List Continue"/>
    <w:basedOn w:val="1"/>
    <w:qFormat/>
    <w:uiPriority w:val="0"/>
    <w:pPr>
      <w:adjustRightInd w:val="0"/>
      <w:snapToGrid w:val="0"/>
      <w:spacing w:after="120" w:line="360" w:lineRule="auto"/>
      <w:ind w:left="420" w:leftChars="200"/>
    </w:pPr>
    <w:rPr>
      <w:sz w:val="24"/>
    </w:rPr>
  </w:style>
  <w:style w:type="paragraph" w:styleId="27">
    <w:name w:val="List Bullet 2"/>
    <w:basedOn w:val="1"/>
    <w:qFormat/>
    <w:uiPriority w:val="0"/>
    <w:pPr>
      <w:numPr>
        <w:ilvl w:val="0"/>
        <w:numId w:val="4"/>
      </w:numPr>
      <w:adjustRightInd w:val="0"/>
      <w:snapToGrid w:val="0"/>
      <w:spacing w:line="360" w:lineRule="auto"/>
    </w:pPr>
    <w:rPr>
      <w:sz w:val="24"/>
    </w:rPr>
  </w:style>
  <w:style w:type="paragraph" w:styleId="28">
    <w:name w:val="toc 5"/>
    <w:basedOn w:val="1"/>
    <w:next w:val="1"/>
    <w:qFormat/>
    <w:uiPriority w:val="0"/>
    <w:pPr>
      <w:ind w:left="1680" w:leftChars="800"/>
    </w:pPr>
  </w:style>
  <w:style w:type="paragraph" w:styleId="29">
    <w:name w:val="toc 3"/>
    <w:basedOn w:val="1"/>
    <w:next w:val="1"/>
    <w:qFormat/>
    <w:uiPriority w:val="39"/>
    <w:pPr>
      <w:ind w:left="840" w:leftChars="400"/>
    </w:pPr>
  </w:style>
  <w:style w:type="paragraph" w:styleId="30">
    <w:name w:val="Plain Text"/>
    <w:basedOn w:val="1"/>
    <w:qFormat/>
    <w:uiPriority w:val="0"/>
    <w:rPr>
      <w:rFonts w:ascii="宋体" w:hAnsi="Courier New"/>
      <w:sz w:val="21"/>
    </w:rPr>
  </w:style>
  <w:style w:type="paragraph" w:styleId="31">
    <w:name w:val="toc 8"/>
    <w:basedOn w:val="1"/>
    <w:next w:val="1"/>
    <w:qFormat/>
    <w:uiPriority w:val="0"/>
    <w:pPr>
      <w:ind w:left="2940" w:leftChars="1400"/>
    </w:pPr>
  </w:style>
  <w:style w:type="paragraph" w:styleId="32">
    <w:name w:val="Date"/>
    <w:basedOn w:val="1"/>
    <w:next w:val="1"/>
    <w:link w:val="71"/>
    <w:qFormat/>
    <w:uiPriority w:val="0"/>
  </w:style>
  <w:style w:type="paragraph" w:styleId="33">
    <w:name w:val="Body Text Indent 2"/>
    <w:basedOn w:val="1"/>
    <w:link w:val="72"/>
    <w:qFormat/>
    <w:uiPriority w:val="0"/>
    <w:pPr>
      <w:snapToGrid w:val="0"/>
      <w:spacing w:line="560" w:lineRule="atLeast"/>
      <w:ind w:firstLine="540"/>
    </w:pPr>
  </w:style>
  <w:style w:type="paragraph" w:styleId="34">
    <w:name w:val="Balloon Text"/>
    <w:basedOn w:val="1"/>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0"/>
    <w:pPr>
      <w:spacing w:line="180" w:lineRule="auto"/>
      <w:jc w:val="center"/>
    </w:pPr>
    <w:rPr>
      <w:sz w:val="30"/>
    </w:rPr>
  </w:style>
  <w:style w:type="paragraph" w:styleId="38">
    <w:name w:val="List Continue 4"/>
    <w:basedOn w:val="1"/>
    <w:qFormat/>
    <w:uiPriority w:val="0"/>
    <w:pPr>
      <w:adjustRightInd w:val="0"/>
      <w:snapToGrid w:val="0"/>
      <w:spacing w:after="120" w:line="360" w:lineRule="auto"/>
      <w:ind w:left="1680" w:leftChars="800"/>
    </w:pPr>
    <w:rPr>
      <w:sz w:val="24"/>
    </w:rPr>
  </w:style>
  <w:style w:type="paragraph" w:styleId="39">
    <w:name w:val="toc 4"/>
    <w:basedOn w:val="1"/>
    <w:next w:val="1"/>
    <w:qFormat/>
    <w:uiPriority w:val="0"/>
    <w:pPr>
      <w:ind w:left="1260" w:leftChars="600"/>
    </w:pPr>
  </w:style>
  <w:style w:type="paragraph" w:styleId="40">
    <w:name w:val="footnote text"/>
    <w:basedOn w:val="1"/>
    <w:link w:val="73"/>
    <w:qFormat/>
    <w:uiPriority w:val="0"/>
    <w:pPr>
      <w:spacing w:line="360" w:lineRule="auto"/>
    </w:pPr>
    <w:rPr>
      <w:sz w:val="18"/>
    </w:rPr>
  </w:style>
  <w:style w:type="paragraph" w:styleId="41">
    <w:name w:val="toc 6"/>
    <w:basedOn w:val="1"/>
    <w:next w:val="1"/>
    <w:qFormat/>
    <w:uiPriority w:val="0"/>
    <w:pPr>
      <w:ind w:left="2100" w:leftChars="1000"/>
    </w:pPr>
  </w:style>
  <w:style w:type="paragraph" w:styleId="42">
    <w:name w:val="List 5"/>
    <w:basedOn w:val="1"/>
    <w:qFormat/>
    <w:uiPriority w:val="0"/>
    <w:pPr>
      <w:adjustRightInd w:val="0"/>
      <w:snapToGrid w:val="0"/>
      <w:spacing w:line="360" w:lineRule="auto"/>
      <w:ind w:left="100" w:leftChars="800" w:hanging="200" w:hangingChars="200"/>
    </w:pPr>
    <w:rPr>
      <w:sz w:val="24"/>
    </w:rPr>
  </w:style>
  <w:style w:type="paragraph" w:styleId="43">
    <w:name w:val="Body Text Indent 3"/>
    <w:basedOn w:val="1"/>
    <w:qFormat/>
    <w:uiPriority w:val="0"/>
    <w:pPr>
      <w:spacing w:line="360" w:lineRule="auto"/>
      <w:ind w:firstLine="632"/>
    </w:pPr>
    <w:rPr>
      <w:rFonts w:ascii="黑体" w:eastAsia="黑体"/>
    </w:rPr>
  </w:style>
  <w:style w:type="paragraph" w:styleId="44">
    <w:name w:val="table of figures"/>
    <w:basedOn w:val="1"/>
    <w:next w:val="1"/>
    <w:qFormat/>
    <w:uiPriority w:val="0"/>
    <w:pPr>
      <w:tabs>
        <w:tab w:val="right" w:leader="dot" w:pos="8640"/>
      </w:tabs>
      <w:spacing w:line="360" w:lineRule="auto"/>
      <w:ind w:left="400" w:hanging="400"/>
    </w:pPr>
    <w:rPr>
      <w:sz w:val="24"/>
    </w:rPr>
  </w:style>
  <w:style w:type="paragraph" w:styleId="45">
    <w:name w:val="toc 2"/>
    <w:basedOn w:val="1"/>
    <w:next w:val="1"/>
    <w:qFormat/>
    <w:uiPriority w:val="39"/>
    <w:pPr>
      <w:ind w:left="420" w:leftChars="200"/>
    </w:pPr>
  </w:style>
  <w:style w:type="paragraph" w:styleId="46">
    <w:name w:val="toc 9"/>
    <w:basedOn w:val="1"/>
    <w:next w:val="1"/>
    <w:qFormat/>
    <w:uiPriority w:val="0"/>
    <w:pPr>
      <w:ind w:left="3360" w:leftChars="1600"/>
    </w:pPr>
  </w:style>
  <w:style w:type="paragraph" w:styleId="47">
    <w:name w:val="Body Text 2"/>
    <w:basedOn w:val="1"/>
    <w:qFormat/>
    <w:uiPriority w:val="0"/>
    <w:pPr>
      <w:adjustRightInd w:val="0"/>
      <w:snapToGrid w:val="0"/>
      <w:spacing w:after="120" w:line="480" w:lineRule="auto"/>
    </w:pPr>
    <w:rPr>
      <w:sz w:val="24"/>
    </w:rPr>
  </w:style>
  <w:style w:type="paragraph" w:styleId="48">
    <w:name w:val="List 4"/>
    <w:basedOn w:val="1"/>
    <w:qFormat/>
    <w:uiPriority w:val="0"/>
    <w:pPr>
      <w:adjustRightInd w:val="0"/>
      <w:snapToGrid w:val="0"/>
      <w:spacing w:line="360" w:lineRule="auto"/>
      <w:ind w:left="100" w:leftChars="600" w:hanging="200" w:hangingChars="200"/>
    </w:pPr>
    <w:rPr>
      <w:sz w:val="24"/>
    </w:rPr>
  </w:style>
  <w:style w:type="paragraph" w:styleId="49">
    <w:name w:val="List Continue 2"/>
    <w:basedOn w:val="1"/>
    <w:qFormat/>
    <w:uiPriority w:val="0"/>
    <w:pPr>
      <w:adjustRightInd w:val="0"/>
      <w:snapToGrid w:val="0"/>
      <w:spacing w:after="120" w:line="360" w:lineRule="auto"/>
      <w:ind w:left="840" w:leftChars="400"/>
    </w:pPr>
    <w:rPr>
      <w:sz w:val="24"/>
    </w:rPr>
  </w:style>
  <w:style w:type="paragraph" w:styleId="50">
    <w:name w:val="Normal (Web)"/>
    <w:basedOn w:val="1"/>
    <w:qFormat/>
    <w:uiPriority w:val="0"/>
    <w:pPr>
      <w:widowControl/>
      <w:spacing w:before="100" w:beforeAutospacing="1" w:after="100" w:afterAutospacing="1"/>
      <w:jc w:val="left"/>
    </w:pPr>
    <w:rPr>
      <w:rFonts w:ascii="宋体" w:hAnsi="宋体"/>
      <w:kern w:val="0"/>
      <w:sz w:val="24"/>
    </w:rPr>
  </w:style>
  <w:style w:type="paragraph" w:styleId="51">
    <w:name w:val="List Continue 3"/>
    <w:basedOn w:val="1"/>
    <w:qFormat/>
    <w:uiPriority w:val="0"/>
    <w:pPr>
      <w:adjustRightInd w:val="0"/>
      <w:snapToGrid w:val="0"/>
      <w:spacing w:after="120" w:line="360" w:lineRule="auto"/>
      <w:ind w:left="1260" w:leftChars="600"/>
    </w:pPr>
    <w:rPr>
      <w:sz w:val="24"/>
    </w:rPr>
  </w:style>
  <w:style w:type="paragraph" w:styleId="52">
    <w:name w:val="index 1"/>
    <w:basedOn w:val="1"/>
    <w:next w:val="1"/>
    <w:qFormat/>
    <w:uiPriority w:val="0"/>
    <w:pPr>
      <w:adjustRightInd w:val="0"/>
      <w:spacing w:line="240" w:lineRule="atLeast"/>
      <w:textAlignment w:val="baseline"/>
    </w:pPr>
    <w:rPr>
      <w:rFonts w:ascii="宋体"/>
      <w:kern w:val="0"/>
      <w:sz w:val="21"/>
    </w:rPr>
  </w:style>
  <w:style w:type="paragraph" w:styleId="53">
    <w:name w:val="Title"/>
    <w:basedOn w:val="1"/>
    <w:qFormat/>
    <w:uiPriority w:val="0"/>
    <w:pPr>
      <w:widowControl/>
      <w:spacing w:after="240" w:line="360" w:lineRule="auto"/>
      <w:jc w:val="center"/>
    </w:pPr>
    <w:rPr>
      <w:rFonts w:ascii="Arial" w:hAnsi="Arial"/>
      <w:b/>
      <w:smallCaps/>
      <w:kern w:val="28"/>
      <w:sz w:val="36"/>
      <w:lang w:eastAsia="en-US"/>
    </w:rPr>
  </w:style>
  <w:style w:type="paragraph" w:styleId="54">
    <w:name w:val="annotation subject"/>
    <w:basedOn w:val="19"/>
    <w:next w:val="19"/>
    <w:link w:val="74"/>
    <w:qFormat/>
    <w:uiPriority w:val="0"/>
    <w:pPr>
      <w:adjustRightInd/>
      <w:spacing w:line="240" w:lineRule="auto"/>
      <w:textAlignment w:val="auto"/>
    </w:pPr>
  </w:style>
  <w:style w:type="paragraph" w:styleId="55">
    <w:name w:val="Body Text First Indent"/>
    <w:basedOn w:val="1"/>
    <w:qFormat/>
    <w:uiPriority w:val="0"/>
    <w:pPr>
      <w:spacing w:line="360" w:lineRule="auto"/>
      <w:ind w:firstLine="420"/>
    </w:pPr>
    <w:rPr>
      <w:rFonts w:ascii="宋体" w:hAnsi="宋体"/>
      <w:sz w:val="24"/>
    </w:rPr>
  </w:style>
  <w:style w:type="paragraph" w:styleId="56">
    <w:name w:val="Body Text First Indent 2"/>
    <w:basedOn w:val="23"/>
    <w:link w:val="75"/>
    <w:qFormat/>
    <w:uiPriority w:val="0"/>
    <w:pPr>
      <w:spacing w:after="120" w:line="240" w:lineRule="auto"/>
      <w:ind w:left="420" w:leftChars="200" w:firstLine="420" w:firstLineChars="200"/>
    </w:pPr>
  </w:style>
  <w:style w:type="table" w:styleId="58">
    <w:name w:val="Table Grid"/>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0">
    <w:name w:val="Strong"/>
    <w:basedOn w:val="59"/>
    <w:qFormat/>
    <w:uiPriority w:val="22"/>
    <w:rPr>
      <w:b/>
    </w:rPr>
  </w:style>
  <w:style w:type="character" w:styleId="61">
    <w:name w:val="page number"/>
    <w:qFormat/>
    <w:uiPriority w:val="0"/>
  </w:style>
  <w:style w:type="character" w:styleId="62">
    <w:name w:val="FollowedHyperlink"/>
    <w:qFormat/>
    <w:uiPriority w:val="0"/>
    <w:rPr>
      <w:color w:val="800080"/>
      <w:u w:val="single"/>
    </w:rPr>
  </w:style>
  <w:style w:type="character" w:styleId="63">
    <w:name w:val="Emphasis"/>
    <w:qFormat/>
    <w:uiPriority w:val="0"/>
    <w:rPr>
      <w:i/>
    </w:rPr>
  </w:style>
  <w:style w:type="character" w:styleId="64">
    <w:name w:val="Hyperlink"/>
    <w:qFormat/>
    <w:uiPriority w:val="99"/>
    <w:rPr>
      <w:color w:val="0000FF"/>
      <w:u w:val="single"/>
    </w:rPr>
  </w:style>
  <w:style w:type="character" w:styleId="65">
    <w:name w:val="annotation reference"/>
    <w:basedOn w:val="59"/>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标题 2 字符"/>
    <w:link w:val="3"/>
    <w:qFormat/>
    <w:uiPriority w:val="0"/>
    <w:rPr>
      <w:rFonts w:ascii="Arial" w:hAnsi="Arial" w:eastAsia="黑体"/>
      <w:b/>
      <w:kern w:val="2"/>
      <w:sz w:val="32"/>
    </w:rPr>
  </w:style>
  <w:style w:type="character" w:customStyle="1" w:styleId="68">
    <w:name w:val="标题 3 字符"/>
    <w:link w:val="4"/>
    <w:qFormat/>
    <w:uiPriority w:val="0"/>
    <w:rPr>
      <w:rFonts w:eastAsia="宋体"/>
      <w:b/>
      <w:kern w:val="2"/>
      <w:sz w:val="32"/>
      <w:lang w:val="en-US" w:eastAsia="zh-CN"/>
    </w:rPr>
  </w:style>
  <w:style w:type="character" w:customStyle="1" w:styleId="69">
    <w:name w:val="批注文字 字符"/>
    <w:link w:val="19"/>
    <w:qFormat/>
    <w:uiPriority w:val="0"/>
    <w:rPr>
      <w:sz w:val="24"/>
    </w:rPr>
  </w:style>
  <w:style w:type="character" w:customStyle="1" w:styleId="70">
    <w:name w:val="正文文本缩进 字符"/>
    <w:link w:val="23"/>
    <w:qFormat/>
    <w:uiPriority w:val="0"/>
    <w:rPr>
      <w:kern w:val="2"/>
      <w:sz w:val="44"/>
    </w:rPr>
  </w:style>
  <w:style w:type="character" w:customStyle="1" w:styleId="71">
    <w:name w:val="日期 字符"/>
    <w:link w:val="32"/>
    <w:qFormat/>
    <w:uiPriority w:val="0"/>
    <w:rPr>
      <w:kern w:val="2"/>
      <w:sz w:val="28"/>
    </w:rPr>
  </w:style>
  <w:style w:type="character" w:customStyle="1" w:styleId="72">
    <w:name w:val="正文文本缩进 2 字符"/>
    <w:link w:val="33"/>
    <w:qFormat/>
    <w:uiPriority w:val="0"/>
    <w:rPr>
      <w:kern w:val="2"/>
      <w:sz w:val="28"/>
    </w:rPr>
  </w:style>
  <w:style w:type="character" w:customStyle="1" w:styleId="73">
    <w:name w:val="脚注文本 字符"/>
    <w:link w:val="40"/>
    <w:qFormat/>
    <w:uiPriority w:val="0"/>
    <w:rPr>
      <w:kern w:val="2"/>
      <w:sz w:val="18"/>
    </w:rPr>
  </w:style>
  <w:style w:type="character" w:customStyle="1" w:styleId="74">
    <w:name w:val="批注主题 字符"/>
    <w:link w:val="54"/>
    <w:qFormat/>
    <w:uiPriority w:val="0"/>
  </w:style>
  <w:style w:type="character" w:customStyle="1" w:styleId="75">
    <w:name w:val="正文文本首行缩进 2 字符"/>
    <w:link w:val="56"/>
    <w:qFormat/>
    <w:uiPriority w:val="0"/>
  </w:style>
  <w:style w:type="paragraph" w:customStyle="1" w:styleId="76">
    <w:name w:val="默认"/>
    <w:qFormat/>
    <w:uiPriority w:val="0"/>
    <w:rPr>
      <w:rFonts w:ascii="Helvetica" w:hAnsi="Helvetica" w:eastAsia="Helvetica" w:cs="Helvetica"/>
      <w:color w:val="000000"/>
      <w:sz w:val="22"/>
      <w:szCs w:val="22"/>
      <w:lang w:val="en-US" w:eastAsia="zh-CN" w:bidi="ar-SA"/>
    </w:rPr>
  </w:style>
  <w:style w:type="paragraph" w:customStyle="1" w:styleId="77">
    <w:name w:val="采购文件正文"/>
    <w:basedOn w:val="1"/>
    <w:qFormat/>
    <w:uiPriority w:val="0"/>
    <w:pPr>
      <w:snapToGrid w:val="0"/>
      <w:spacing w:line="400" w:lineRule="exact"/>
      <w:ind w:firstLine="480" w:firstLineChars="200"/>
    </w:pPr>
    <w:rPr>
      <w:rFonts w:ascii="方正仿宋_GBK" w:hAnsi="方正仿宋_GBK" w:eastAsia="方正仿宋_GBK" w:cs="方正仿宋_GBK"/>
      <w:sz w:val="24"/>
      <w:szCs w:val="24"/>
    </w:rPr>
  </w:style>
  <w:style w:type="character" w:customStyle="1" w:styleId="78">
    <w:name w:val="小 Char"/>
    <w:qFormat/>
    <w:uiPriority w:val="0"/>
    <w:rPr>
      <w:rFonts w:ascii="宋体" w:hAnsi="Courier New" w:eastAsia="宋体"/>
      <w:kern w:val="2"/>
      <w:sz w:val="21"/>
      <w:lang w:val="en-US" w:eastAsia="zh-CN" w:bidi="ar-SA"/>
    </w:rPr>
  </w:style>
  <w:style w:type="character" w:customStyle="1" w:styleId="79">
    <w:name w:val="文字 Char"/>
    <w:link w:val="80"/>
    <w:qFormat/>
    <w:uiPriority w:val="0"/>
    <w:rPr>
      <w:rFonts w:ascii="宋体"/>
      <w:kern w:val="2"/>
      <w:sz w:val="28"/>
    </w:rPr>
  </w:style>
  <w:style w:type="paragraph" w:customStyle="1" w:styleId="80">
    <w:name w:val="文字"/>
    <w:basedOn w:val="1"/>
    <w:link w:val="79"/>
    <w:qFormat/>
    <w:uiPriority w:val="0"/>
    <w:pPr>
      <w:tabs>
        <w:tab w:val="left" w:pos="8520"/>
      </w:tabs>
      <w:spacing w:line="312" w:lineRule="auto"/>
      <w:ind w:right="-210" w:firstLine="556"/>
    </w:pPr>
    <w:rPr>
      <w:rFonts w:ascii="宋体"/>
    </w:rPr>
  </w:style>
  <w:style w:type="character" w:customStyle="1" w:styleId="81">
    <w:name w:val="正文 + 三号 Char"/>
    <w:qFormat/>
    <w:uiPriority w:val="0"/>
    <w:rPr>
      <w:rFonts w:eastAsia="宋体"/>
      <w:kern w:val="2"/>
      <w:sz w:val="21"/>
      <w:lang w:val="en-US" w:eastAsia="zh-CN"/>
    </w:rPr>
  </w:style>
  <w:style w:type="character" w:customStyle="1" w:styleId="82">
    <w:name w:val="标书正文:  0.74 厘米 Char1"/>
    <w:qFormat/>
    <w:uiPriority w:val="0"/>
    <w:rPr>
      <w:rFonts w:eastAsia="宋体"/>
      <w:kern w:val="2"/>
      <w:sz w:val="24"/>
      <w:lang w:val="en-US" w:eastAsia="zh-CN"/>
    </w:rPr>
  </w:style>
  <w:style w:type="character" w:customStyle="1" w:styleId="83">
    <w:name w:val="样式 宋体"/>
    <w:qFormat/>
    <w:uiPriority w:val="0"/>
    <w:rPr>
      <w:rFonts w:ascii="宋体" w:hAnsi="宋体" w:eastAsia="宋体"/>
      <w:sz w:val="28"/>
    </w:rPr>
  </w:style>
  <w:style w:type="character" w:customStyle="1" w:styleId="84">
    <w:name w:val="未命名11"/>
    <w:qFormat/>
    <w:uiPriority w:val="0"/>
    <w:rPr>
      <w:color w:val="77FFFF"/>
      <w:sz w:val="24"/>
    </w:rPr>
  </w:style>
  <w:style w:type="paragraph" w:customStyle="1" w:styleId="85">
    <w:name w:val="二级列表"/>
    <w:basedOn w:val="86"/>
    <w:next w:val="86"/>
    <w:qFormat/>
    <w:uiPriority w:val="0"/>
    <w:pPr>
      <w:tabs>
        <w:tab w:val="left" w:pos="2120"/>
      </w:tabs>
      <w:ind w:firstLine="0" w:firstLineChars="0"/>
    </w:pPr>
    <w:rPr>
      <w:b/>
    </w:rPr>
  </w:style>
  <w:style w:type="paragraph" w:customStyle="1" w:styleId="86">
    <w:name w:val="段落正文"/>
    <w:basedOn w:val="1"/>
    <w:qFormat/>
    <w:uiPriority w:val="0"/>
    <w:pPr>
      <w:spacing w:before="156" w:beforeLines="50" w:line="360" w:lineRule="auto"/>
      <w:ind w:firstLine="200" w:firstLineChars="200"/>
    </w:pPr>
    <w:rPr>
      <w:spacing w:val="2"/>
      <w:sz w:val="24"/>
    </w:rPr>
  </w:style>
  <w:style w:type="paragraph" w:customStyle="1" w:styleId="87">
    <w:name w:val="标题3——2"/>
    <w:basedOn w:val="4"/>
    <w:next w:val="55"/>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88">
    <w:name w:val="文本1"/>
    <w:basedOn w:val="1"/>
    <w:qFormat/>
    <w:uiPriority w:val="0"/>
    <w:pPr>
      <w:adjustRightInd w:val="0"/>
      <w:spacing w:line="312" w:lineRule="atLeast"/>
      <w:jc w:val="center"/>
      <w:textAlignment w:val="baseline"/>
    </w:pPr>
    <w:rPr>
      <w:kern w:val="0"/>
      <w:sz w:val="18"/>
    </w:rPr>
  </w:style>
  <w:style w:type="paragraph" w:customStyle="1" w:styleId="89">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90">
    <w:name w:val="二级条标题"/>
    <w:basedOn w:val="91"/>
    <w:next w:val="93"/>
    <w:qFormat/>
    <w:uiPriority w:val="0"/>
    <w:pPr>
      <w:ind w:left="840"/>
      <w:outlineLvl w:val="3"/>
    </w:pPr>
  </w:style>
  <w:style w:type="paragraph" w:customStyle="1" w:styleId="91">
    <w:name w:val="一级条标题"/>
    <w:basedOn w:val="92"/>
    <w:next w:val="93"/>
    <w:qFormat/>
    <w:uiPriority w:val="0"/>
    <w:pPr>
      <w:numPr>
        <w:numId w:val="0"/>
      </w:numPr>
      <w:spacing w:before="0" w:beforeLines="0" w:after="0" w:afterLines="0"/>
      <w:ind w:left="525"/>
      <w:outlineLvl w:val="2"/>
    </w:pPr>
    <w:rPr>
      <w:sz w:val="21"/>
    </w:rPr>
  </w:style>
  <w:style w:type="paragraph" w:customStyle="1" w:styleId="92">
    <w:name w:val="章标题"/>
    <w:next w:val="1"/>
    <w:qFormat/>
    <w:uiPriority w:val="0"/>
    <w:pPr>
      <w:numPr>
        <w:ilvl w:val="1"/>
        <w:numId w:val="5"/>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9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4">
    <w:name w:val="编号正文"/>
    <w:basedOn w:val="95"/>
    <w:qFormat/>
    <w:uiPriority w:val="0"/>
    <w:pPr>
      <w:snapToGrid/>
      <w:spacing w:line="360" w:lineRule="auto"/>
      <w:ind w:left="1407" w:hanging="1047"/>
      <w:jc w:val="left"/>
    </w:pPr>
    <w:rPr>
      <w:rFonts w:eastAsia="仿宋_GB2312"/>
    </w:rPr>
  </w:style>
  <w:style w:type="paragraph" w:customStyle="1" w:styleId="9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96">
    <w:name w:val="样式3"/>
    <w:basedOn w:val="2"/>
    <w:next w:val="2"/>
    <w:qFormat/>
    <w:uiPriority w:val="0"/>
    <w:pPr>
      <w:keepLines/>
      <w:adjustRightInd w:val="0"/>
      <w:spacing w:before="340" w:after="330" w:line="576" w:lineRule="auto"/>
    </w:pPr>
    <w:rPr>
      <w:rFonts w:ascii="Times New Roman" w:eastAsia="黑体"/>
      <w:b/>
      <w:kern w:val="44"/>
      <w:sz w:val="44"/>
    </w:rPr>
  </w:style>
  <w:style w:type="paragraph" w:customStyle="1" w:styleId="97">
    <w:name w:val="默认段落字体 Para Char Char Char Char Char Char Char Char Char1 Char Char Char Char"/>
    <w:basedOn w:val="1"/>
    <w:qFormat/>
    <w:uiPriority w:val="0"/>
    <w:rPr>
      <w:rFonts w:ascii="Tahoma" w:hAnsi="Tahoma"/>
      <w:sz w:val="24"/>
    </w:rPr>
  </w:style>
  <w:style w:type="paragraph" w:customStyle="1" w:styleId="98">
    <w:name w:val="Revision"/>
    <w:qFormat/>
    <w:uiPriority w:val="0"/>
    <w:rPr>
      <w:rFonts w:ascii="Times New Roman" w:hAnsi="Times New Roman" w:eastAsia="宋体" w:cs="Times New Roman"/>
      <w:kern w:val="2"/>
      <w:sz w:val="21"/>
      <w:lang w:val="en-US" w:eastAsia="zh-CN" w:bidi="ar-SA"/>
    </w:rPr>
  </w:style>
  <w:style w:type="paragraph" w:customStyle="1" w:styleId="99">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00">
    <w:name w:val="正文 + 三号"/>
    <w:basedOn w:val="1"/>
    <w:qFormat/>
    <w:uiPriority w:val="0"/>
    <w:rPr>
      <w:sz w:val="21"/>
    </w:rPr>
  </w:style>
  <w:style w:type="paragraph" w:customStyle="1" w:styleId="101">
    <w:name w:val="样式 首行缩进:  0.74 厘米"/>
    <w:basedOn w:val="1"/>
    <w:qFormat/>
    <w:uiPriority w:val="0"/>
    <w:pPr>
      <w:spacing w:line="360" w:lineRule="auto"/>
      <w:ind w:firstLine="420"/>
    </w:pPr>
    <w:rPr>
      <w:sz w:val="24"/>
    </w:rPr>
  </w:style>
  <w:style w:type="paragraph" w:customStyle="1" w:styleId="102">
    <w:name w:val="样式 样式 首行缩进:  2 字符 + 首行缩进:  2 字符"/>
    <w:basedOn w:val="1"/>
    <w:qFormat/>
    <w:uiPriority w:val="0"/>
    <w:pPr>
      <w:numPr>
        <w:ilvl w:val="0"/>
        <w:numId w:val="6"/>
      </w:numPr>
      <w:tabs>
        <w:tab w:val="clear" w:pos="1230"/>
      </w:tabs>
      <w:spacing w:line="360" w:lineRule="auto"/>
      <w:ind w:firstLine="480" w:firstLineChars="200"/>
    </w:pPr>
    <w:rPr>
      <w:sz w:val="24"/>
    </w:rPr>
  </w:style>
  <w:style w:type="paragraph" w:customStyle="1" w:styleId="103">
    <w:name w:val="标题2"/>
    <w:basedOn w:val="3"/>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104">
    <w:name w:val="表格文本"/>
    <w:qFormat/>
    <w:uiPriority w:val="0"/>
    <w:pPr>
      <w:tabs>
        <w:tab w:val="decimal" w:pos="0"/>
      </w:tabs>
    </w:pPr>
    <w:rPr>
      <w:rFonts w:ascii="Arial" w:hAnsi="Arial" w:eastAsia="宋体" w:cs="Times New Roman"/>
      <w:sz w:val="21"/>
      <w:lang w:val="en-US" w:eastAsia="zh-CN" w:bidi="ar-SA"/>
    </w:rPr>
  </w:style>
  <w:style w:type="paragraph" w:customStyle="1" w:styleId="105">
    <w:name w:val="样式2"/>
    <w:basedOn w:val="5"/>
    <w:qFormat/>
    <w:uiPriority w:val="0"/>
    <w:pPr>
      <w:numPr>
        <w:ilvl w:val="0"/>
        <w:numId w:val="7"/>
      </w:numPr>
      <w:spacing w:before="560" w:line="400" w:lineRule="exact"/>
      <w:jc w:val="center"/>
      <w:outlineLvl w:val="0"/>
    </w:pPr>
    <w:rPr>
      <w:b w:val="0"/>
      <w:sz w:val="44"/>
    </w:rPr>
  </w:style>
  <w:style w:type="paragraph" w:customStyle="1" w:styleId="106">
    <w:name w:val="内容标题"/>
    <w:basedOn w:val="17"/>
    <w:qFormat/>
    <w:uiPriority w:val="0"/>
    <w:rPr>
      <w:rFonts w:ascii="Tahoma" w:hAnsi="Tahoma"/>
      <w:sz w:val="24"/>
    </w:rPr>
  </w:style>
  <w:style w:type="paragraph" w:customStyle="1" w:styleId="107">
    <w:name w:val="列表项目"/>
    <w:basedOn w:val="1"/>
    <w:qFormat/>
    <w:uiPriority w:val="0"/>
    <w:pPr>
      <w:tabs>
        <w:tab w:val="left" w:pos="420"/>
      </w:tabs>
      <w:spacing w:line="288" w:lineRule="auto"/>
      <w:ind w:left="840" w:leftChars="200" w:hanging="420" w:hangingChars="200"/>
    </w:pPr>
    <w:rPr>
      <w:sz w:val="21"/>
    </w:rPr>
  </w:style>
  <w:style w:type="paragraph" w:customStyle="1" w:styleId="108">
    <w:name w:val="样式 标题 6第五层条 + 三号 段前: 0.5 行"/>
    <w:basedOn w:val="7"/>
    <w:qFormat/>
    <w:uiPriority w:val="0"/>
    <w:pPr>
      <w:widowControl/>
      <w:adjustRightInd/>
      <w:snapToGrid/>
      <w:spacing w:before="156" w:beforeLines="50"/>
      <w:jc w:val="left"/>
    </w:pPr>
    <w:rPr>
      <w:snapToGrid w:val="0"/>
      <w:kern w:val="24"/>
      <w:sz w:val="28"/>
    </w:rPr>
  </w:style>
  <w:style w:type="paragraph" w:customStyle="1" w:styleId="109">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10">
    <w:name w:val="样式 正文首行缩进 2 + 首行缩进:  2 字符"/>
    <w:basedOn w:val="1"/>
    <w:qFormat/>
    <w:uiPriority w:val="0"/>
    <w:pPr>
      <w:numPr>
        <w:ilvl w:val="0"/>
        <w:numId w:val="8"/>
      </w:numPr>
      <w:adjustRightInd w:val="0"/>
      <w:snapToGrid w:val="0"/>
      <w:spacing w:line="360" w:lineRule="auto"/>
    </w:pPr>
    <w:rPr>
      <w:rFonts w:ascii="Arial" w:hAnsi="Arial"/>
      <w:b/>
      <w:sz w:val="24"/>
    </w:rPr>
  </w:style>
  <w:style w:type="paragraph" w:customStyle="1" w:styleId="111">
    <w:name w:val="样式 行距: 1.5 倍行距1"/>
    <w:basedOn w:val="1"/>
    <w:qFormat/>
    <w:uiPriority w:val="0"/>
    <w:pPr>
      <w:snapToGrid w:val="0"/>
    </w:pPr>
    <w:rPr>
      <w:sz w:val="21"/>
    </w:rPr>
  </w:style>
  <w:style w:type="paragraph" w:customStyle="1" w:styleId="112">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113">
    <w:name w:val="标准正文"/>
    <w:basedOn w:val="23"/>
    <w:qFormat/>
    <w:uiPriority w:val="0"/>
    <w:pPr>
      <w:spacing w:before="60" w:after="60" w:line="360" w:lineRule="auto"/>
      <w:ind w:left="0" w:firstLine="482"/>
    </w:pPr>
    <w:rPr>
      <w:rFonts w:ascii="Arial" w:hAnsi="Arial"/>
      <w:sz w:val="24"/>
    </w:rPr>
  </w:style>
  <w:style w:type="paragraph" w:customStyle="1" w:styleId="114">
    <w:name w:val="样式1"/>
    <w:basedOn w:val="5"/>
    <w:qFormat/>
    <w:uiPriority w:val="0"/>
    <w:pPr>
      <w:tabs>
        <w:tab w:val="left" w:pos="720"/>
      </w:tabs>
      <w:spacing w:before="500" w:after="260" w:line="560" w:lineRule="atLeast"/>
      <w:ind w:left="420" w:hanging="420"/>
    </w:pPr>
  </w:style>
  <w:style w:type="paragraph" w:customStyle="1" w:styleId="115">
    <w:name w:val="正文4"/>
    <w:basedOn w:val="1"/>
    <w:qFormat/>
    <w:uiPriority w:val="0"/>
    <w:pPr>
      <w:tabs>
        <w:tab w:val="left" w:pos="1275"/>
      </w:tabs>
      <w:spacing w:before="60" w:after="60" w:line="360" w:lineRule="auto"/>
      <w:ind w:left="820" w:leftChars="400" w:hanging="705"/>
    </w:pPr>
    <w:rPr>
      <w:sz w:val="24"/>
    </w:rPr>
  </w:style>
  <w:style w:type="paragraph" w:customStyle="1" w:styleId="116">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117">
    <w:name w:val="文本框样式1"/>
    <w:basedOn w:val="1"/>
    <w:qFormat/>
    <w:uiPriority w:val="0"/>
    <w:pPr>
      <w:adjustRightInd w:val="0"/>
      <w:snapToGrid w:val="0"/>
      <w:spacing w:before="60" w:line="180" w:lineRule="exact"/>
      <w:jc w:val="center"/>
    </w:pPr>
    <w:rPr>
      <w:sz w:val="21"/>
    </w:rPr>
  </w:style>
  <w:style w:type="paragraph" w:customStyle="1" w:styleId="118">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19">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20">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21">
    <w:name w:val="关键词"/>
    <w:basedOn w:val="1"/>
    <w:next w:val="1"/>
    <w:qFormat/>
    <w:uiPriority w:val="0"/>
    <w:pPr>
      <w:spacing w:line="360" w:lineRule="auto"/>
    </w:pPr>
    <w:rPr>
      <w:rFonts w:eastAsia="黑体"/>
      <w:sz w:val="20"/>
    </w:rPr>
  </w:style>
  <w:style w:type="paragraph" w:customStyle="1" w:styleId="122">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23">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24">
    <w:name w:val="表号"/>
    <w:basedOn w:val="1"/>
    <w:qFormat/>
    <w:uiPriority w:val="0"/>
    <w:pPr>
      <w:numPr>
        <w:ilvl w:val="0"/>
        <w:numId w:val="9"/>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12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126">
    <w:name w:val="样式4"/>
    <w:basedOn w:val="5"/>
    <w:qFormat/>
    <w:uiPriority w:val="0"/>
    <w:pPr>
      <w:adjustRightInd w:val="0"/>
      <w:snapToGrid w:val="0"/>
    </w:pPr>
  </w:style>
  <w:style w:type="paragraph" w:customStyle="1" w:styleId="127">
    <w:name w:val="摘要"/>
    <w:basedOn w:val="1"/>
    <w:next w:val="3"/>
    <w:qFormat/>
    <w:uiPriority w:val="0"/>
    <w:pPr>
      <w:spacing w:line="360" w:lineRule="auto"/>
    </w:pPr>
    <w:rPr>
      <w:rFonts w:eastAsia="黑体"/>
      <w:sz w:val="20"/>
    </w:rPr>
  </w:style>
  <w:style w:type="paragraph" w:customStyle="1" w:styleId="128">
    <w:name w:val="可研正文"/>
    <w:basedOn w:val="22"/>
    <w:qFormat/>
    <w:uiPriority w:val="0"/>
    <w:pPr>
      <w:adjustRightInd w:val="0"/>
      <w:snapToGrid w:val="0"/>
      <w:spacing w:line="440" w:lineRule="exact"/>
      <w:ind w:firstLine="567"/>
    </w:pPr>
    <w:rPr>
      <w:sz w:val="28"/>
    </w:rPr>
  </w:style>
  <w:style w:type="paragraph" w:customStyle="1" w:styleId="129">
    <w:name w:val="没有缩进（为图形使用）"/>
    <w:basedOn w:val="1"/>
    <w:qFormat/>
    <w:uiPriority w:val="0"/>
    <w:pPr>
      <w:spacing w:before="120" w:after="120" w:line="360" w:lineRule="auto"/>
    </w:pPr>
    <w:rPr>
      <w:sz w:val="24"/>
    </w:rPr>
  </w:style>
  <w:style w:type="paragraph" w:customStyle="1" w:styleId="130">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31">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32">
    <w:name w:val="标书正文:  0.74 厘米"/>
    <w:basedOn w:val="1"/>
    <w:qFormat/>
    <w:uiPriority w:val="0"/>
    <w:pPr>
      <w:snapToGrid w:val="0"/>
      <w:spacing w:line="360" w:lineRule="auto"/>
      <w:ind w:firstLine="420"/>
    </w:pPr>
    <w:rPr>
      <w:sz w:val="24"/>
    </w:rPr>
  </w:style>
  <w:style w:type="paragraph" w:customStyle="1" w:styleId="133">
    <w:name w:val="样式 正文缩进正文（首行缩进两字）表正文正文非缩进特点标题4段1 + 首行缩进:  2 字符"/>
    <w:basedOn w:val="15"/>
    <w:qFormat/>
    <w:uiPriority w:val="0"/>
    <w:pPr>
      <w:ind w:firstLine="480" w:firstLineChars="200"/>
    </w:pPr>
  </w:style>
  <w:style w:type="paragraph" w:customStyle="1" w:styleId="134">
    <w:name w:val="样式 标题 1章标题Heading 0Section HeadPIM 1H1h11st levell11H1..."/>
    <w:basedOn w:val="2"/>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35">
    <w:name w:val="文章正文"/>
    <w:basedOn w:val="1"/>
    <w:qFormat/>
    <w:uiPriority w:val="0"/>
    <w:pPr>
      <w:ind w:firstLine="560" w:firstLineChars="200"/>
    </w:pPr>
    <w:rPr>
      <w:rFonts w:ascii="仿宋_GB2312" w:hAnsi="宋体" w:eastAsia="仿宋_GB2312"/>
      <w:color w:val="000000"/>
    </w:rPr>
  </w:style>
  <w:style w:type="paragraph" w:customStyle="1" w:styleId="136">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37">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qFormat/>
    <w:uiPriority w:val="0"/>
    <w:pPr>
      <w:jc w:val="center"/>
    </w:pPr>
    <w:rPr>
      <w:rFonts w:ascii="Arial" w:hAnsi="Arial" w:eastAsia="宋体" w:cs="Times New Roman"/>
      <w:b/>
      <w:sz w:val="21"/>
      <w:lang w:val="en-US" w:eastAsia="zh-CN" w:bidi="ar-SA"/>
    </w:rPr>
  </w:style>
  <w:style w:type="paragraph" w:customStyle="1" w:styleId="139">
    <w:name w:val="样式 标题 1 + 居中 段前: 6 磅 段后: 6 磅 行距: 1.5 倍行距"/>
    <w:basedOn w:val="2"/>
    <w:qFormat/>
    <w:uiPriority w:val="0"/>
    <w:pPr>
      <w:keepLines/>
      <w:adjustRightInd w:val="0"/>
      <w:spacing w:before="120" w:after="120" w:line="360" w:lineRule="auto"/>
      <w:jc w:val="center"/>
    </w:pPr>
    <w:rPr>
      <w:rFonts w:ascii="Times New Roman"/>
      <w:b/>
      <w:kern w:val="44"/>
      <w:sz w:val="32"/>
    </w:rPr>
  </w:style>
  <w:style w:type="paragraph" w:customStyle="1" w:styleId="140">
    <w:name w:val="默认段落字体 Para Char Char Char Char Char Char Char"/>
    <w:basedOn w:val="1"/>
    <w:qFormat/>
    <w:uiPriority w:val="0"/>
    <w:rPr>
      <w:rFonts w:ascii="Tahoma" w:hAnsi="Tahoma"/>
      <w:sz w:val="24"/>
    </w:rPr>
  </w:style>
  <w:style w:type="paragraph" w:customStyle="1" w:styleId="141">
    <w:name w:val="首行缩进"/>
    <w:basedOn w:val="1"/>
    <w:qFormat/>
    <w:uiPriority w:val="0"/>
    <w:pPr>
      <w:numPr>
        <w:ilvl w:val="0"/>
        <w:numId w:val="10"/>
      </w:numPr>
      <w:spacing w:line="360" w:lineRule="auto"/>
    </w:pPr>
    <w:rPr>
      <w:rFonts w:eastAsia="仿宋_GB2312"/>
    </w:rPr>
  </w:style>
  <w:style w:type="paragraph" w:customStyle="1" w:styleId="142">
    <w:name w:val="正文字缩2字"/>
    <w:basedOn w:val="1"/>
    <w:qFormat/>
    <w:uiPriority w:val="0"/>
    <w:pPr>
      <w:spacing w:before="60" w:after="60" w:line="360" w:lineRule="auto"/>
      <w:ind w:left="200" w:leftChars="200" w:firstLine="200" w:firstLineChars="200"/>
    </w:pPr>
    <w:rPr>
      <w:sz w:val="24"/>
    </w:rPr>
  </w:style>
  <w:style w:type="paragraph" w:customStyle="1" w:styleId="143">
    <w:name w:val="正文表格"/>
    <w:basedOn w:val="1"/>
    <w:qFormat/>
    <w:uiPriority w:val="0"/>
    <w:pPr>
      <w:adjustRightInd w:val="0"/>
      <w:spacing w:before="40" w:after="40"/>
    </w:pPr>
    <w:rPr>
      <w:sz w:val="24"/>
    </w:rPr>
  </w:style>
  <w:style w:type="paragraph" w:customStyle="1" w:styleId="144">
    <w:name w:val="表文字"/>
    <w:qFormat/>
    <w:uiPriority w:val="0"/>
    <w:rPr>
      <w:rFonts w:ascii="宋体" w:hAnsi="Times New Roman" w:eastAsia="宋体" w:cs="Times New Roman"/>
      <w:kern w:val="2"/>
      <w:lang w:val="en-US" w:eastAsia="zh-CN" w:bidi="ar-SA"/>
    </w:rPr>
  </w:style>
  <w:style w:type="paragraph" w:customStyle="1" w:styleId="145">
    <w:name w:val="表格内文字"/>
    <w:basedOn w:val="30"/>
    <w:qFormat/>
    <w:uiPriority w:val="0"/>
    <w:pPr>
      <w:adjustRightInd w:val="0"/>
    </w:pPr>
    <w:rPr>
      <w:color w:val="000000"/>
      <w:lang w:val="en-GB"/>
    </w:rPr>
  </w:style>
  <w:style w:type="paragraph" w:customStyle="1" w:styleId="146">
    <w:name w:val="标题无"/>
    <w:basedOn w:val="1"/>
    <w:qFormat/>
    <w:uiPriority w:val="0"/>
    <w:pPr>
      <w:spacing w:line="360" w:lineRule="auto"/>
    </w:pPr>
    <w:rPr>
      <w:sz w:val="24"/>
    </w:rPr>
  </w:style>
  <w:style w:type="paragraph" w:customStyle="1" w:styleId="147">
    <w:name w:val="简单回函地址"/>
    <w:basedOn w:val="1"/>
    <w:qFormat/>
    <w:uiPriority w:val="0"/>
    <w:pPr>
      <w:adjustRightInd w:val="0"/>
      <w:snapToGrid w:val="0"/>
      <w:spacing w:line="360" w:lineRule="auto"/>
    </w:pPr>
    <w:rPr>
      <w:sz w:val="24"/>
    </w:rPr>
  </w:style>
  <w:style w:type="paragraph" w:customStyle="1" w:styleId="148">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49">
    <w:name w:val="正文（首行不缩进）"/>
    <w:basedOn w:val="1"/>
    <w:qFormat/>
    <w:uiPriority w:val="0"/>
    <w:pPr>
      <w:autoSpaceDE w:val="0"/>
      <w:autoSpaceDN w:val="0"/>
      <w:adjustRightInd w:val="0"/>
      <w:spacing w:line="360" w:lineRule="auto"/>
      <w:jc w:val="left"/>
    </w:pPr>
    <w:rPr>
      <w:kern w:val="0"/>
      <w:sz w:val="21"/>
    </w:rPr>
  </w:style>
  <w:style w:type="paragraph" w:customStyle="1" w:styleId="150">
    <w:name w:val="正文1"/>
    <w:basedOn w:val="1"/>
    <w:qFormat/>
    <w:uiPriority w:val="0"/>
    <w:pPr>
      <w:spacing w:line="300" w:lineRule="auto"/>
      <w:ind w:firstLine="200" w:firstLineChars="200"/>
    </w:pPr>
    <w:rPr>
      <w:sz w:val="24"/>
    </w:rPr>
  </w:style>
  <w:style w:type="paragraph" w:customStyle="1" w:styleId="151">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52">
    <w:name w:val="表头样式"/>
    <w:basedOn w:val="1"/>
    <w:qFormat/>
    <w:uiPriority w:val="0"/>
    <w:pPr>
      <w:autoSpaceDE w:val="0"/>
      <w:autoSpaceDN w:val="0"/>
      <w:adjustRightInd w:val="0"/>
      <w:spacing w:line="360" w:lineRule="auto"/>
      <w:jc w:val="left"/>
    </w:pPr>
    <w:rPr>
      <w:b/>
      <w:kern w:val="0"/>
      <w:sz w:val="21"/>
    </w:rPr>
  </w:style>
  <w:style w:type="paragraph" w:customStyle="1" w:styleId="153">
    <w:name w:val="图片文字"/>
    <w:basedOn w:val="1"/>
    <w:qFormat/>
    <w:uiPriority w:val="0"/>
    <w:pPr>
      <w:spacing w:line="240" w:lineRule="atLeast"/>
      <w:jc w:val="center"/>
    </w:pPr>
    <w:rPr>
      <w:sz w:val="21"/>
    </w:rPr>
  </w:style>
  <w:style w:type="paragraph" w:customStyle="1" w:styleId="154">
    <w:name w:val="附录3"/>
    <w:basedOn w:val="1"/>
    <w:next w:val="1"/>
    <w:qFormat/>
    <w:uiPriority w:val="0"/>
    <w:pPr>
      <w:tabs>
        <w:tab w:val="left" w:pos="851"/>
      </w:tabs>
      <w:ind w:left="425" w:hanging="425"/>
      <w:outlineLvl w:val="2"/>
    </w:pPr>
    <w:rPr>
      <w:rFonts w:eastAsia="黑体"/>
      <w:b/>
      <w:sz w:val="32"/>
    </w:rPr>
  </w:style>
  <w:style w:type="paragraph" w:customStyle="1" w:styleId="155">
    <w:name w:val="首行缩进 1"/>
    <w:basedOn w:val="1"/>
    <w:qFormat/>
    <w:uiPriority w:val="0"/>
    <w:pPr>
      <w:spacing w:after="120" w:line="360" w:lineRule="auto"/>
      <w:ind w:firstLine="200" w:firstLineChars="200"/>
    </w:pPr>
    <w:rPr>
      <w:sz w:val="24"/>
    </w:rPr>
  </w:style>
  <w:style w:type="paragraph" w:customStyle="1" w:styleId="156">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157">
    <w:name w:val="样式1xz"/>
    <w:basedOn w:val="1"/>
    <w:qFormat/>
    <w:uiPriority w:val="0"/>
    <w:pPr>
      <w:tabs>
        <w:tab w:val="left" w:pos="1050"/>
        <w:tab w:val="right" w:leader="dot" w:pos="8296"/>
      </w:tabs>
    </w:pPr>
    <w:rPr>
      <w:caps/>
      <w:spacing w:val="20"/>
      <w:sz w:val="24"/>
    </w:rPr>
  </w:style>
  <w:style w:type="paragraph" w:customStyle="1" w:styleId="158">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59">
    <w:name w:val="样式 宋体 五号 行距: 单倍行距"/>
    <w:basedOn w:val="1"/>
    <w:qFormat/>
    <w:uiPriority w:val="0"/>
    <w:pPr>
      <w:adjustRightInd w:val="0"/>
      <w:jc w:val="left"/>
    </w:pPr>
    <w:rPr>
      <w:rFonts w:ascii="宋体" w:hAnsi="宋体"/>
      <w:kern w:val="0"/>
      <w:sz w:val="21"/>
    </w:rPr>
  </w:style>
  <w:style w:type="paragraph" w:customStyle="1" w:styleId="160">
    <w:name w:val="操作步骤"/>
    <w:basedOn w:val="1"/>
    <w:qFormat/>
    <w:uiPriority w:val="0"/>
    <w:pPr>
      <w:numPr>
        <w:ilvl w:val="0"/>
        <w:numId w:val="11"/>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161">
    <w:name w:val="图例"/>
    <w:basedOn w:val="1"/>
    <w:qFormat/>
    <w:uiPriority w:val="0"/>
    <w:pPr>
      <w:spacing w:before="120" w:after="120" w:line="360" w:lineRule="auto"/>
      <w:jc w:val="center"/>
    </w:pPr>
    <w:rPr>
      <w:rFonts w:eastAsia="仿宋_GB2312"/>
      <w:b/>
      <w:sz w:val="24"/>
    </w:rPr>
  </w:style>
  <w:style w:type="paragraph" w:customStyle="1" w:styleId="162">
    <w:name w:val="采购文件篇幅"/>
    <w:basedOn w:val="1"/>
    <w:next w:val="1"/>
    <w:qFormat/>
    <w:uiPriority w:val="0"/>
    <w:pPr>
      <w:keepNext/>
      <w:keepLines/>
      <w:spacing w:before="260" w:after="260" w:line="360" w:lineRule="auto"/>
      <w:jc w:val="center"/>
      <w:outlineLvl w:val="1"/>
    </w:pPr>
    <w:rPr>
      <w:rFonts w:hint="eastAsia" w:ascii="方正小标宋_GBK" w:hAnsi="方正小标宋_GBK" w:eastAsia="方正小标宋_GBK"/>
      <w:sz w:val="36"/>
      <w:szCs w:val="30"/>
    </w:rPr>
  </w:style>
  <w:style w:type="paragraph" w:customStyle="1" w:styleId="163">
    <w:name w:val="采购文件标题"/>
    <w:basedOn w:val="1"/>
    <w:next w:val="1"/>
    <w:qFormat/>
    <w:uiPriority w:val="0"/>
    <w:pPr>
      <w:keepNext/>
      <w:keepLines/>
      <w:adjustRightInd w:val="0"/>
      <w:snapToGrid w:val="0"/>
      <w:spacing w:line="400" w:lineRule="exact"/>
      <w:ind w:firstLine="482" w:firstLineChars="200"/>
      <w:outlineLvl w:val="1"/>
    </w:pPr>
    <w:rPr>
      <w:rFonts w:ascii="方正仿宋_GBK" w:hAnsi="方正仿宋_GBK" w:eastAsia="方正仿宋_GBK"/>
      <w:b/>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罗成</Manager>
  <Company>重庆市政府采购中心</Company>
  <Pages>38</Pages>
  <Words>3507</Words>
  <Characters>3962</Characters>
  <Lines>199</Lines>
  <Paragraphs>56</Paragraphs>
  <TotalTime>0</TotalTime>
  <ScaleCrop>false</ScaleCrop>
  <LinksUpToDate>false</LinksUpToDate>
  <CharactersWithSpaces>4001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2026-10-29T01:38:00Z</dcterms:created>
  <dc:creator>周媛媛</dc:creator>
  <cp:lastModifiedBy>X、</cp:lastModifiedBy>
  <cp:lastPrinted>2026-10-20T00:55:00Z</cp:lastPrinted>
  <dcterms:modified xsi:type="dcterms:W3CDTF">2026-11-03T00:10:23Z</dcterms:modified>
  <dc:title>竞争性谈判文件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30C55B4E456C412FBB0A41319910E467_13</vt:lpwstr>
  </property>
  <property fmtid="{D5CDD505-2E9C-101B-9397-08002B2CF9AE}" pid="4" name="KSOTemplateDocerSaveRecord">
    <vt:lpwstr>eyJoZGlkIjoiYmMyNGIyNjJiZmRkZDgwYTFjOGJkYzhmNWQ2MDdkZGIiLCJ1c2VySWQiOiIyMzU1ODA0MzkifQ==</vt:lpwstr>
  </property>
</Properties>
</file>